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 xml:space="preserve">  </w:t>
      </w:r>
    </w:p>
    <w:p>
      <w:pPr>
        <w:spacing w:line="600" w:lineRule="exact"/>
        <w:jc w:val="center"/>
        <w:rPr>
          <w:rFonts w:hint="default" w:ascii="Times New Roman" w:hAnsi="Times New Roman" w:cs="Times New Roman"/>
          <w:color w:val="auto"/>
          <w:sz w:val="32"/>
          <w:szCs w:val="32"/>
          <w:highlight w:val="none"/>
        </w:rPr>
      </w:pPr>
    </w:p>
    <w:p>
      <w:pPr>
        <w:spacing w:line="600" w:lineRule="exact"/>
        <w:jc w:val="center"/>
        <w:rPr>
          <w:rFonts w:hint="default" w:ascii="Times New Roman" w:hAnsi="Times New Roman" w:cs="Times New Roman"/>
          <w:color w:val="auto"/>
          <w:sz w:val="32"/>
          <w:szCs w:val="32"/>
          <w:highlight w:val="none"/>
        </w:rPr>
      </w:pPr>
    </w:p>
    <w:p>
      <w:pPr>
        <w:spacing w:before="120" w:beforeLines="50"/>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72"/>
          <w:szCs w:val="72"/>
          <w:highlight w:val="none"/>
        </w:rPr>
        <w:t>公开招标采购文件</w:t>
      </w:r>
    </w:p>
    <w:p>
      <w:pPr>
        <w:snapToGrid w:val="0"/>
        <w:spacing w:before="120" w:beforeLines="50" w:line="360" w:lineRule="auto"/>
        <w:rPr>
          <w:rFonts w:hint="default" w:ascii="Times New Roman" w:hAnsi="Times New Roman" w:cs="Times New Roman"/>
          <w:color w:val="auto"/>
          <w:sz w:val="30"/>
          <w:szCs w:val="72"/>
          <w:highlight w:val="none"/>
        </w:rPr>
      </w:pPr>
    </w:p>
    <w:p>
      <w:pPr>
        <w:pStyle w:val="22"/>
        <w:snapToGrid w:val="0"/>
        <w:spacing w:before="120" w:beforeLines="0" w:after="120" w:afterLines="0" w:line="360" w:lineRule="auto"/>
        <w:rPr>
          <w:rFonts w:hint="default" w:ascii="Times New Roman" w:hAnsi="Times New Roman" w:cs="Times New Roman"/>
          <w:b/>
          <w:color w:val="auto"/>
          <w:sz w:val="30"/>
          <w:szCs w:val="48"/>
          <w:highlight w:val="none"/>
        </w:rPr>
      </w:pPr>
    </w:p>
    <w:p>
      <w:pPr>
        <w:pStyle w:val="22"/>
        <w:snapToGrid w:val="0"/>
        <w:spacing w:before="120" w:beforeLines="0" w:after="120" w:afterLines="0" w:line="360" w:lineRule="auto"/>
        <w:rPr>
          <w:rFonts w:hint="default" w:ascii="Times New Roman" w:hAnsi="Times New Roman" w:cs="Times New Roman"/>
          <w:b/>
          <w:color w:val="auto"/>
          <w:sz w:val="30"/>
          <w:szCs w:val="48"/>
          <w:highlight w:val="none"/>
        </w:rPr>
      </w:pPr>
    </w:p>
    <w:p>
      <w:pPr>
        <w:pStyle w:val="22"/>
        <w:snapToGrid w:val="0"/>
        <w:spacing w:before="120" w:beforeLines="0" w:after="120" w:afterLines="0" w:line="360" w:lineRule="auto"/>
        <w:rPr>
          <w:rFonts w:hint="default" w:ascii="Times New Roman" w:hAnsi="Times New Roman" w:cs="Times New Roman"/>
          <w:b/>
          <w:color w:val="auto"/>
          <w:sz w:val="30"/>
          <w:szCs w:val="48"/>
          <w:highlight w:val="none"/>
        </w:rPr>
      </w:pPr>
    </w:p>
    <w:p>
      <w:pPr>
        <w:pStyle w:val="22"/>
        <w:snapToGrid w:val="0"/>
        <w:spacing w:before="120" w:beforeLines="0" w:after="120" w:afterLines="0" w:line="360" w:lineRule="auto"/>
        <w:rPr>
          <w:rFonts w:hint="default" w:ascii="Times New Roman" w:hAnsi="Times New Roman" w:cs="Times New Roman"/>
          <w:b/>
          <w:color w:val="auto"/>
          <w:sz w:val="30"/>
          <w:szCs w:val="48"/>
          <w:highlight w:val="none"/>
        </w:rPr>
      </w:pPr>
    </w:p>
    <w:p>
      <w:pPr>
        <w:pStyle w:val="22"/>
        <w:snapToGrid w:val="0"/>
        <w:spacing w:before="120" w:beforeLines="0" w:after="120" w:afterLines="0" w:line="360" w:lineRule="auto"/>
        <w:rPr>
          <w:rFonts w:hint="default" w:ascii="Times New Roman" w:hAnsi="Times New Roman" w:cs="Times New Roman"/>
          <w:b/>
          <w:color w:val="auto"/>
          <w:sz w:val="30"/>
          <w:szCs w:val="48"/>
          <w:highlight w:val="none"/>
        </w:rPr>
      </w:pPr>
    </w:p>
    <w:p>
      <w:pPr>
        <w:pStyle w:val="22"/>
        <w:snapToGrid w:val="0"/>
        <w:spacing w:before="300" w:beforeLines="0" w:after="300" w:afterLines="0" w:line="360" w:lineRule="auto"/>
        <w:rPr>
          <w:rFonts w:hint="default" w:ascii="Times New Roman" w:hAnsi="Times New Roman" w:eastAsia="宋体" w:cs="Times New Roman"/>
          <w:b/>
          <w:color w:val="auto"/>
          <w:sz w:val="28"/>
          <w:szCs w:val="28"/>
          <w:highlight w:val="none"/>
          <w:lang w:eastAsia="zh-CN"/>
        </w:rPr>
      </w:pPr>
      <w:r>
        <w:rPr>
          <w:rFonts w:hint="default" w:ascii="Times New Roman" w:hAnsi="Times New Roman" w:cs="Times New Roman"/>
          <w:b/>
          <w:color w:val="auto"/>
          <w:sz w:val="28"/>
          <w:szCs w:val="28"/>
          <w:highlight w:val="none"/>
        </w:rPr>
        <w:t>项目编号：</w:t>
      </w:r>
      <w:r>
        <w:rPr>
          <w:rFonts w:hint="eastAsia" w:ascii="Times New Roman" w:hAnsi="Times New Roman" w:cs="Times New Roman"/>
          <w:b/>
          <w:color w:val="auto"/>
          <w:sz w:val="28"/>
          <w:szCs w:val="28"/>
          <w:highlight w:val="none"/>
          <w:lang w:eastAsia="zh-CN"/>
        </w:rPr>
        <w:t>科信建代字[2024]100037号</w:t>
      </w:r>
    </w:p>
    <w:p>
      <w:pPr>
        <w:pStyle w:val="22"/>
        <w:snapToGrid w:val="0"/>
        <w:spacing w:before="300" w:beforeLines="0" w:after="300" w:afterLines="0" w:line="360" w:lineRule="auto"/>
        <w:rPr>
          <w:rFonts w:hint="default" w:ascii="Times New Roman" w:hAnsi="Times New Roman" w:eastAsia="宋体" w:cs="Times New Roman"/>
          <w:b/>
          <w:color w:val="auto"/>
          <w:spacing w:val="-6"/>
          <w:sz w:val="28"/>
          <w:szCs w:val="28"/>
          <w:highlight w:val="none"/>
          <w:lang w:eastAsia="zh-CN"/>
        </w:rPr>
      </w:pPr>
      <w:r>
        <w:rPr>
          <w:rFonts w:hint="default" w:ascii="Times New Roman" w:hAnsi="Times New Roman" w:cs="Times New Roman"/>
          <w:b/>
          <w:color w:val="auto"/>
          <w:sz w:val="28"/>
          <w:szCs w:val="28"/>
          <w:highlight w:val="none"/>
        </w:rPr>
        <w:t>项目名称：</w:t>
      </w:r>
      <w:r>
        <w:rPr>
          <w:rFonts w:hint="eastAsia" w:ascii="Times New Roman" w:hAnsi="Times New Roman" w:cs="Times New Roman"/>
          <w:b/>
          <w:color w:val="auto"/>
          <w:sz w:val="28"/>
          <w:szCs w:val="28"/>
          <w:highlight w:val="none"/>
          <w:lang w:eastAsia="zh-CN"/>
        </w:rPr>
        <w:t>2024年城乡文明程度指数第三方专业测评服务项目</w:t>
      </w:r>
    </w:p>
    <w:p>
      <w:pPr>
        <w:pStyle w:val="22"/>
        <w:snapToGrid w:val="0"/>
        <w:spacing w:before="300" w:beforeLines="0" w:after="300" w:afterLines="0" w:line="360" w:lineRule="auto"/>
        <w:rPr>
          <w:rFonts w:hint="default" w:ascii="Times New Roman" w:hAnsi="Times New Roman" w:eastAsia="宋体" w:cs="Times New Roman"/>
          <w:b/>
          <w:color w:val="auto"/>
          <w:sz w:val="28"/>
          <w:szCs w:val="28"/>
          <w:highlight w:val="none"/>
          <w:lang w:eastAsia="zh-CN"/>
        </w:rPr>
      </w:pPr>
      <w:r>
        <w:rPr>
          <w:rFonts w:hint="default" w:ascii="Times New Roman" w:hAnsi="Times New Roman" w:cs="Times New Roman"/>
          <w:b/>
          <w:color w:val="auto"/>
          <w:sz w:val="28"/>
          <w:szCs w:val="28"/>
          <w:highlight w:val="none"/>
        </w:rPr>
        <w:t>采 购 人：</w:t>
      </w:r>
      <w:r>
        <w:rPr>
          <w:rFonts w:hint="eastAsia" w:ascii="Times New Roman" w:hAnsi="Times New Roman" w:cs="Times New Roman"/>
          <w:b/>
          <w:color w:val="auto"/>
          <w:sz w:val="28"/>
          <w:szCs w:val="28"/>
          <w:highlight w:val="none"/>
          <w:lang w:eastAsia="zh-CN"/>
        </w:rPr>
        <w:t>中国共产党宁波市镇海区委员会宣传部</w:t>
      </w:r>
      <w:r>
        <w:rPr>
          <w:rFonts w:hint="default" w:ascii="Times New Roman" w:hAnsi="Times New Roman" w:cs="Times New Roman"/>
          <w:b/>
          <w:color w:val="auto"/>
          <w:sz w:val="28"/>
          <w:szCs w:val="28"/>
          <w:highlight w:val="none"/>
          <w:lang w:eastAsia="zh-CN"/>
        </w:rPr>
        <w:t> </w:t>
      </w:r>
    </w:p>
    <w:p>
      <w:pPr>
        <w:pStyle w:val="22"/>
        <w:snapToGrid w:val="0"/>
        <w:spacing w:before="300" w:beforeLines="0" w:after="300" w:afterLines="0" w:line="360" w:lineRule="auto"/>
        <w:rPr>
          <w:rFonts w:hint="default" w:ascii="Times New Roman" w:hAnsi="Times New Roman" w:eastAsia="宋体" w:cs="Times New Roman"/>
          <w:b/>
          <w:color w:val="auto"/>
          <w:sz w:val="28"/>
          <w:szCs w:val="28"/>
          <w:highlight w:val="none"/>
          <w:lang w:eastAsia="zh-CN"/>
        </w:rPr>
      </w:pPr>
      <w:r>
        <w:rPr>
          <w:rFonts w:hint="default" w:ascii="Times New Roman" w:hAnsi="Times New Roman" w:cs="Times New Roman"/>
          <w:b/>
          <w:color w:val="auto"/>
          <w:sz w:val="28"/>
          <w:szCs w:val="28"/>
          <w:highlight w:val="none"/>
        </w:rPr>
        <w:t>代理机构：</w:t>
      </w:r>
      <w:r>
        <w:rPr>
          <w:rFonts w:hint="default" w:ascii="Times New Roman" w:hAnsi="Times New Roman" w:cs="Times New Roman"/>
          <w:b/>
          <w:color w:val="auto"/>
          <w:sz w:val="28"/>
          <w:szCs w:val="28"/>
          <w:highlight w:val="none"/>
          <w:lang w:eastAsia="zh-CN"/>
        </w:rPr>
        <w:t>科信联合工程咨询有限公司</w:t>
      </w:r>
    </w:p>
    <w:p>
      <w:pPr>
        <w:snapToGrid w:val="0"/>
        <w:spacing w:before="120" w:beforeLines="50" w:line="360" w:lineRule="auto"/>
        <w:jc w:val="both"/>
        <w:rPr>
          <w:rFonts w:hint="default" w:ascii="Times New Roman" w:hAnsi="Times New Roman" w:cs="Times New Roman"/>
          <w:b/>
          <w:bCs/>
          <w:color w:val="auto"/>
          <w:sz w:val="30"/>
          <w:szCs w:val="30"/>
          <w:highlight w:val="none"/>
        </w:rPr>
      </w:pPr>
    </w:p>
    <w:p>
      <w:pPr>
        <w:snapToGrid w:val="0"/>
        <w:spacing w:before="120" w:beforeLines="50" w:line="360" w:lineRule="auto"/>
        <w:jc w:val="center"/>
        <w:rPr>
          <w:rFonts w:hint="default" w:ascii="Times New Roman" w:hAnsi="Times New Roman" w:cs="Times New Roman"/>
          <w:color w:val="auto"/>
          <w:sz w:val="30"/>
          <w:szCs w:val="20"/>
          <w:highlight w:val="none"/>
        </w:rPr>
      </w:pPr>
      <w:r>
        <w:rPr>
          <w:rFonts w:hint="default" w:ascii="Times New Roman" w:hAnsi="Times New Roman" w:cs="Times New Roman"/>
          <w:b/>
          <w:bCs/>
          <w:color w:val="auto"/>
          <w:sz w:val="30"/>
          <w:szCs w:val="30"/>
          <w:highlight w:val="none"/>
        </w:rPr>
        <w:t>202</w:t>
      </w:r>
      <w:r>
        <w:rPr>
          <w:rFonts w:hint="eastAsia" w:cs="Times New Roman"/>
          <w:b/>
          <w:bCs/>
          <w:color w:val="auto"/>
          <w:sz w:val="30"/>
          <w:szCs w:val="30"/>
          <w:highlight w:val="none"/>
          <w:lang w:val="en-US" w:eastAsia="zh-CN"/>
        </w:rPr>
        <w:t>4</w:t>
      </w:r>
      <w:r>
        <w:rPr>
          <w:rFonts w:hint="default" w:ascii="Times New Roman" w:hAnsi="Times New Roman" w:cs="Times New Roman"/>
          <w:b/>
          <w:bCs/>
          <w:color w:val="auto"/>
          <w:sz w:val="30"/>
          <w:szCs w:val="30"/>
          <w:highlight w:val="none"/>
        </w:rPr>
        <w:t>年</w:t>
      </w:r>
      <w:r>
        <w:rPr>
          <w:rFonts w:hint="eastAsia" w:cs="Times New Roman"/>
          <w:b/>
          <w:bCs/>
          <w:color w:val="auto"/>
          <w:sz w:val="30"/>
          <w:szCs w:val="30"/>
          <w:highlight w:val="none"/>
          <w:lang w:val="en-US" w:eastAsia="zh-CN"/>
        </w:rPr>
        <w:t>1</w:t>
      </w:r>
      <w:r>
        <w:rPr>
          <w:rFonts w:hint="default" w:ascii="Times New Roman" w:hAnsi="Times New Roman" w:cs="Times New Roman"/>
          <w:b/>
          <w:bCs/>
          <w:color w:val="auto"/>
          <w:sz w:val="30"/>
          <w:szCs w:val="30"/>
          <w:highlight w:val="none"/>
        </w:rPr>
        <w:t>月</w:t>
      </w:r>
    </w:p>
    <w:p>
      <w:pPr>
        <w:jc w:val="center"/>
        <w:rPr>
          <w:rFonts w:hint="default" w:ascii="Times New Roman" w:hAnsi="Times New Roman" w:cs="Times New Roman"/>
          <w:color w:val="auto"/>
          <w:highlight w:val="none"/>
        </w:rPr>
      </w:pPr>
    </w:p>
    <w:p>
      <w:pPr>
        <w:jc w:val="center"/>
        <w:rPr>
          <w:rFonts w:hint="default" w:ascii="Times New Roman" w:hAnsi="Times New Roman" w:cs="Times New Roman"/>
          <w:color w:val="auto"/>
          <w:highlight w:val="none"/>
        </w:rPr>
      </w:pPr>
    </w:p>
    <w:p>
      <w:pPr>
        <w:jc w:val="center"/>
        <w:rPr>
          <w:rFonts w:hint="default" w:ascii="Times New Roman" w:hAnsi="Times New Roman" w:cs="Times New Roman"/>
          <w:color w:val="auto"/>
          <w:highlight w:val="none"/>
        </w:rPr>
      </w:pPr>
    </w:p>
    <w:p>
      <w:pPr>
        <w:jc w:val="center"/>
        <w:rPr>
          <w:rFonts w:hint="default" w:ascii="Times New Roman" w:hAnsi="Times New Roman" w:cs="Times New Roman"/>
          <w:color w:val="auto"/>
          <w:highlight w:val="none"/>
        </w:rPr>
      </w:pPr>
    </w:p>
    <w:p>
      <w:pPr>
        <w:jc w:val="center"/>
        <w:rPr>
          <w:rFonts w:hint="default" w:ascii="Times New Roman" w:hAnsi="Times New Roman" w:cs="Times New Roman"/>
          <w:color w:val="auto"/>
          <w:highlight w:val="none"/>
        </w:rPr>
      </w:pPr>
    </w:p>
    <w:p>
      <w:pPr>
        <w:jc w:val="center"/>
        <w:rPr>
          <w:rFonts w:hint="default" w:ascii="Times New Roman" w:hAnsi="Times New Roman" w:cs="Times New Roman"/>
          <w:color w:val="auto"/>
          <w:highlight w:val="none"/>
        </w:rPr>
      </w:pPr>
    </w:p>
    <w:p>
      <w:pPr>
        <w:jc w:val="center"/>
        <w:rPr>
          <w:rFonts w:hint="default" w:ascii="Times New Roman" w:hAnsi="Times New Roman" w:cs="Times New Roman"/>
          <w:b/>
          <w:bCs/>
          <w:color w:val="auto"/>
          <w:sz w:val="44"/>
          <w:szCs w:val="44"/>
          <w:highlight w:val="none"/>
        </w:rPr>
        <w:sectPr>
          <w:footerReference r:id="rId3" w:type="default"/>
          <w:pgSz w:w="11906" w:h="16838"/>
          <w:pgMar w:top="1440" w:right="1803" w:bottom="1440" w:left="1803" w:header="851" w:footer="850" w:gutter="0"/>
          <w:pgNumType w:start="1"/>
          <w:cols w:space="720" w:num="1"/>
          <w:docGrid w:linePitch="312" w:charSpace="0"/>
        </w:sectPr>
      </w:pPr>
    </w:p>
    <w:p>
      <w:pPr>
        <w:jc w:val="center"/>
        <w:rPr>
          <w:rFonts w:hint="default" w:ascii="Times New Roman" w:hAnsi="Times New Roman" w:cs="Times New Roman"/>
          <w:b/>
          <w:bCs/>
          <w:color w:val="auto"/>
          <w:sz w:val="40"/>
          <w:szCs w:val="40"/>
          <w:highlight w:val="none"/>
        </w:rPr>
      </w:pPr>
      <w:r>
        <w:rPr>
          <w:rFonts w:hint="default" w:ascii="Times New Roman" w:hAnsi="Times New Roman" w:cs="Times New Roman"/>
          <w:b/>
          <w:bCs/>
          <w:color w:val="auto"/>
          <w:sz w:val="40"/>
          <w:szCs w:val="40"/>
          <w:highlight w:val="none"/>
        </w:rPr>
        <w:t>目 录</w:t>
      </w:r>
    </w:p>
    <w:p>
      <w:pPr>
        <w:pStyle w:val="2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8"/>
          <w:szCs w:val="36"/>
          <w:highlight w:val="none"/>
          <w:lang w:eastAsia="zh-CN"/>
        </w:rPr>
      </w:pPr>
    </w:p>
    <w:p>
      <w:pPr>
        <w:pStyle w:val="2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lang w:eastAsia="zh-CN"/>
        </w:rPr>
        <w:fldChar w:fldCharType="begin"/>
      </w:r>
      <w:r>
        <w:rPr>
          <w:rFonts w:hint="default" w:ascii="Times New Roman" w:hAnsi="Times New Roman" w:cs="Times New Roman"/>
          <w:b/>
          <w:bCs/>
          <w:color w:val="auto"/>
          <w:sz w:val="28"/>
          <w:szCs w:val="36"/>
          <w:highlight w:val="none"/>
          <w:lang w:eastAsia="zh-CN"/>
        </w:rPr>
        <w:instrText xml:space="preserve">TOC \o "1-1" \h \u </w:instrText>
      </w:r>
      <w:r>
        <w:rPr>
          <w:rFonts w:hint="default" w:ascii="Times New Roman" w:hAnsi="Times New Roman" w:cs="Times New Roman"/>
          <w:b/>
          <w:bCs/>
          <w:color w:val="auto"/>
          <w:sz w:val="28"/>
          <w:szCs w:val="36"/>
          <w:highlight w:val="none"/>
          <w:lang w:eastAsia="zh-CN"/>
        </w:rPr>
        <w:fldChar w:fldCharType="separate"/>
      </w:r>
      <w:r>
        <w:rPr>
          <w:rFonts w:hint="default" w:ascii="Times New Roman" w:hAnsi="Times New Roman" w:cs="Times New Roman"/>
          <w:b/>
          <w:bCs/>
          <w:color w:val="auto"/>
          <w:sz w:val="28"/>
          <w:szCs w:val="36"/>
          <w:highlight w:val="none"/>
          <w:lang w:eastAsia="zh-CN"/>
        </w:rPr>
        <w:fldChar w:fldCharType="begin"/>
      </w:r>
      <w:r>
        <w:rPr>
          <w:rFonts w:hint="default" w:ascii="Times New Roman" w:hAnsi="Times New Roman" w:cs="Times New Roman"/>
          <w:b/>
          <w:bCs/>
          <w:color w:val="auto"/>
          <w:sz w:val="28"/>
          <w:szCs w:val="36"/>
          <w:highlight w:val="none"/>
          <w:lang w:eastAsia="zh-CN"/>
        </w:rPr>
        <w:instrText xml:space="preserve"> HYPERLINK \l _Toc29184 </w:instrText>
      </w:r>
      <w:r>
        <w:rPr>
          <w:rFonts w:hint="default" w:ascii="Times New Roman" w:hAnsi="Times New Roman" w:cs="Times New Roman"/>
          <w:b/>
          <w:bCs/>
          <w:color w:val="auto"/>
          <w:sz w:val="28"/>
          <w:szCs w:val="36"/>
          <w:highlight w:val="none"/>
          <w:lang w:eastAsia="zh-CN"/>
        </w:rPr>
        <w:fldChar w:fldCharType="separate"/>
      </w:r>
      <w:r>
        <w:rPr>
          <w:rFonts w:hint="default" w:ascii="Times New Roman" w:hAnsi="Times New Roman" w:cs="Times New Roman"/>
          <w:b/>
          <w:bCs/>
          <w:color w:val="auto"/>
          <w:sz w:val="28"/>
          <w:szCs w:val="36"/>
          <w:highlight w:val="none"/>
        </w:rPr>
        <w:t>第一章 公开招标采购公告</w:t>
      </w:r>
      <w:r>
        <w:rPr>
          <w:rFonts w:hint="default" w:ascii="Times New Roman" w:hAnsi="Times New Roman" w:cs="Times New Roman"/>
          <w:b/>
          <w:bCs/>
          <w:color w:val="auto"/>
          <w:sz w:val="28"/>
          <w:szCs w:val="36"/>
          <w:highlight w:val="none"/>
        </w:rPr>
        <w:tab/>
      </w:r>
      <w:r>
        <w:rPr>
          <w:rFonts w:hint="default" w:ascii="Times New Roman" w:hAnsi="Times New Roman" w:cs="Times New Roman"/>
          <w:b/>
          <w:bCs/>
          <w:color w:val="auto"/>
          <w:sz w:val="28"/>
          <w:szCs w:val="36"/>
          <w:highlight w:val="none"/>
        </w:rPr>
        <w:fldChar w:fldCharType="begin"/>
      </w:r>
      <w:r>
        <w:rPr>
          <w:rFonts w:hint="default" w:ascii="Times New Roman" w:hAnsi="Times New Roman" w:cs="Times New Roman"/>
          <w:b/>
          <w:bCs/>
          <w:color w:val="auto"/>
          <w:sz w:val="28"/>
          <w:szCs w:val="36"/>
          <w:highlight w:val="none"/>
        </w:rPr>
        <w:instrText xml:space="preserve"> PAGEREF _Toc29184 \h </w:instrText>
      </w:r>
      <w:r>
        <w:rPr>
          <w:rFonts w:hint="default" w:ascii="Times New Roman" w:hAnsi="Times New Roman" w:cs="Times New Roman"/>
          <w:b/>
          <w:bCs/>
          <w:color w:val="auto"/>
          <w:sz w:val="28"/>
          <w:szCs w:val="36"/>
          <w:highlight w:val="none"/>
        </w:rPr>
        <w:fldChar w:fldCharType="separate"/>
      </w:r>
      <w:r>
        <w:rPr>
          <w:rFonts w:hint="default" w:ascii="Times New Roman" w:hAnsi="Times New Roman" w:cs="Times New Roman"/>
          <w:b/>
          <w:bCs/>
          <w:color w:val="auto"/>
          <w:sz w:val="28"/>
          <w:szCs w:val="36"/>
          <w:highlight w:val="none"/>
        </w:rPr>
        <w:t>1</w:t>
      </w:r>
      <w:r>
        <w:rPr>
          <w:rFonts w:hint="default" w:ascii="Times New Roman" w:hAnsi="Times New Roman" w:cs="Times New Roman"/>
          <w:b/>
          <w:bCs/>
          <w:color w:val="auto"/>
          <w:sz w:val="28"/>
          <w:szCs w:val="36"/>
          <w:highlight w:val="none"/>
        </w:rPr>
        <w:fldChar w:fldCharType="end"/>
      </w:r>
      <w:r>
        <w:rPr>
          <w:rFonts w:hint="default" w:ascii="Times New Roman" w:hAnsi="Times New Roman" w:cs="Times New Roman"/>
          <w:b/>
          <w:bCs/>
          <w:color w:val="auto"/>
          <w:sz w:val="28"/>
          <w:szCs w:val="36"/>
          <w:highlight w:val="none"/>
          <w:lang w:eastAsia="zh-CN"/>
        </w:rPr>
        <w:fldChar w:fldCharType="end"/>
      </w:r>
    </w:p>
    <w:p>
      <w:pPr>
        <w:pStyle w:val="2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lang w:eastAsia="zh-CN"/>
        </w:rPr>
        <w:fldChar w:fldCharType="begin"/>
      </w:r>
      <w:r>
        <w:rPr>
          <w:rFonts w:hint="default" w:ascii="Times New Roman" w:hAnsi="Times New Roman" w:cs="Times New Roman"/>
          <w:b/>
          <w:bCs/>
          <w:color w:val="auto"/>
          <w:sz w:val="28"/>
          <w:szCs w:val="36"/>
          <w:highlight w:val="none"/>
          <w:lang w:eastAsia="zh-CN"/>
        </w:rPr>
        <w:instrText xml:space="preserve"> HYPERLINK \l _Toc22133 </w:instrText>
      </w:r>
      <w:r>
        <w:rPr>
          <w:rFonts w:hint="default" w:ascii="Times New Roman" w:hAnsi="Times New Roman" w:cs="Times New Roman"/>
          <w:b/>
          <w:bCs/>
          <w:color w:val="auto"/>
          <w:sz w:val="28"/>
          <w:szCs w:val="36"/>
          <w:highlight w:val="none"/>
          <w:lang w:eastAsia="zh-CN"/>
        </w:rPr>
        <w:fldChar w:fldCharType="separate"/>
      </w:r>
      <w:r>
        <w:rPr>
          <w:rFonts w:hint="default" w:ascii="Times New Roman" w:hAnsi="Times New Roman" w:cs="Times New Roman"/>
          <w:b/>
          <w:bCs/>
          <w:color w:val="auto"/>
          <w:sz w:val="28"/>
          <w:szCs w:val="36"/>
          <w:highlight w:val="none"/>
        </w:rPr>
        <w:t>第二章 招标需求</w:t>
      </w:r>
      <w:r>
        <w:rPr>
          <w:rFonts w:hint="default" w:ascii="Times New Roman" w:hAnsi="Times New Roman" w:cs="Times New Roman"/>
          <w:b/>
          <w:bCs/>
          <w:color w:val="auto"/>
          <w:sz w:val="28"/>
          <w:szCs w:val="36"/>
          <w:highlight w:val="none"/>
        </w:rPr>
        <w:tab/>
      </w:r>
      <w:r>
        <w:rPr>
          <w:rFonts w:hint="default" w:ascii="Times New Roman" w:hAnsi="Times New Roman" w:cs="Times New Roman"/>
          <w:b/>
          <w:bCs/>
          <w:color w:val="auto"/>
          <w:sz w:val="28"/>
          <w:szCs w:val="36"/>
          <w:highlight w:val="none"/>
        </w:rPr>
        <w:fldChar w:fldCharType="begin"/>
      </w:r>
      <w:r>
        <w:rPr>
          <w:rFonts w:hint="default" w:ascii="Times New Roman" w:hAnsi="Times New Roman" w:cs="Times New Roman"/>
          <w:b/>
          <w:bCs/>
          <w:color w:val="auto"/>
          <w:sz w:val="28"/>
          <w:szCs w:val="36"/>
          <w:highlight w:val="none"/>
        </w:rPr>
        <w:instrText xml:space="preserve"> PAGEREF _Toc22133 \h </w:instrText>
      </w:r>
      <w:r>
        <w:rPr>
          <w:rFonts w:hint="default" w:ascii="Times New Roman" w:hAnsi="Times New Roman" w:cs="Times New Roman"/>
          <w:b/>
          <w:bCs/>
          <w:color w:val="auto"/>
          <w:sz w:val="28"/>
          <w:szCs w:val="36"/>
          <w:highlight w:val="none"/>
        </w:rPr>
        <w:fldChar w:fldCharType="separate"/>
      </w:r>
      <w:r>
        <w:rPr>
          <w:rFonts w:hint="default" w:ascii="Times New Roman" w:hAnsi="Times New Roman" w:cs="Times New Roman"/>
          <w:b/>
          <w:bCs/>
          <w:color w:val="auto"/>
          <w:sz w:val="28"/>
          <w:szCs w:val="36"/>
          <w:highlight w:val="none"/>
        </w:rPr>
        <w:t>5</w:t>
      </w:r>
      <w:r>
        <w:rPr>
          <w:rFonts w:hint="default" w:ascii="Times New Roman" w:hAnsi="Times New Roman" w:cs="Times New Roman"/>
          <w:b/>
          <w:bCs/>
          <w:color w:val="auto"/>
          <w:sz w:val="28"/>
          <w:szCs w:val="36"/>
          <w:highlight w:val="none"/>
        </w:rPr>
        <w:fldChar w:fldCharType="end"/>
      </w:r>
      <w:r>
        <w:rPr>
          <w:rFonts w:hint="default" w:ascii="Times New Roman" w:hAnsi="Times New Roman" w:cs="Times New Roman"/>
          <w:b/>
          <w:bCs/>
          <w:color w:val="auto"/>
          <w:sz w:val="28"/>
          <w:szCs w:val="36"/>
          <w:highlight w:val="none"/>
          <w:lang w:eastAsia="zh-CN"/>
        </w:rPr>
        <w:fldChar w:fldCharType="end"/>
      </w:r>
    </w:p>
    <w:p>
      <w:pPr>
        <w:pStyle w:val="2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lang w:eastAsia="zh-CN"/>
        </w:rPr>
        <w:fldChar w:fldCharType="begin"/>
      </w:r>
      <w:r>
        <w:rPr>
          <w:rFonts w:hint="default" w:ascii="Times New Roman" w:hAnsi="Times New Roman" w:cs="Times New Roman"/>
          <w:b/>
          <w:bCs/>
          <w:color w:val="auto"/>
          <w:sz w:val="28"/>
          <w:szCs w:val="36"/>
          <w:highlight w:val="none"/>
          <w:lang w:eastAsia="zh-CN"/>
        </w:rPr>
        <w:instrText xml:space="preserve"> HYPERLINK \l _Toc10742 </w:instrText>
      </w:r>
      <w:r>
        <w:rPr>
          <w:rFonts w:hint="default" w:ascii="Times New Roman" w:hAnsi="Times New Roman" w:cs="Times New Roman"/>
          <w:b/>
          <w:bCs/>
          <w:color w:val="auto"/>
          <w:sz w:val="28"/>
          <w:szCs w:val="36"/>
          <w:highlight w:val="none"/>
          <w:lang w:eastAsia="zh-CN"/>
        </w:rPr>
        <w:fldChar w:fldCharType="separate"/>
      </w:r>
      <w:r>
        <w:rPr>
          <w:rFonts w:hint="default" w:ascii="Times New Roman" w:hAnsi="Times New Roman" w:cs="Times New Roman"/>
          <w:b/>
          <w:bCs/>
          <w:color w:val="auto"/>
          <w:sz w:val="28"/>
          <w:szCs w:val="36"/>
          <w:highlight w:val="none"/>
        </w:rPr>
        <w:t>第三章 投标人须知</w:t>
      </w:r>
      <w:r>
        <w:rPr>
          <w:rFonts w:hint="default" w:ascii="Times New Roman" w:hAnsi="Times New Roman" w:cs="Times New Roman"/>
          <w:b/>
          <w:bCs/>
          <w:color w:val="auto"/>
          <w:sz w:val="28"/>
          <w:szCs w:val="36"/>
          <w:highlight w:val="none"/>
        </w:rPr>
        <w:tab/>
      </w:r>
      <w:r>
        <w:rPr>
          <w:rFonts w:hint="default" w:ascii="Times New Roman" w:hAnsi="Times New Roman" w:cs="Times New Roman"/>
          <w:b/>
          <w:bCs/>
          <w:color w:val="auto"/>
          <w:sz w:val="28"/>
          <w:szCs w:val="36"/>
          <w:highlight w:val="none"/>
        </w:rPr>
        <w:fldChar w:fldCharType="begin"/>
      </w:r>
      <w:r>
        <w:rPr>
          <w:rFonts w:hint="default" w:ascii="Times New Roman" w:hAnsi="Times New Roman" w:cs="Times New Roman"/>
          <w:b/>
          <w:bCs/>
          <w:color w:val="auto"/>
          <w:sz w:val="28"/>
          <w:szCs w:val="36"/>
          <w:highlight w:val="none"/>
        </w:rPr>
        <w:instrText xml:space="preserve"> PAGEREF _Toc10742 \h </w:instrText>
      </w:r>
      <w:r>
        <w:rPr>
          <w:rFonts w:hint="default" w:ascii="Times New Roman" w:hAnsi="Times New Roman" w:cs="Times New Roman"/>
          <w:b/>
          <w:bCs/>
          <w:color w:val="auto"/>
          <w:sz w:val="28"/>
          <w:szCs w:val="36"/>
          <w:highlight w:val="none"/>
        </w:rPr>
        <w:fldChar w:fldCharType="separate"/>
      </w:r>
      <w:r>
        <w:rPr>
          <w:rFonts w:hint="default" w:ascii="Times New Roman" w:hAnsi="Times New Roman" w:cs="Times New Roman"/>
          <w:b/>
          <w:bCs/>
          <w:color w:val="auto"/>
          <w:sz w:val="28"/>
          <w:szCs w:val="36"/>
          <w:highlight w:val="none"/>
        </w:rPr>
        <w:t>10</w:t>
      </w:r>
      <w:r>
        <w:rPr>
          <w:rFonts w:hint="default" w:ascii="Times New Roman" w:hAnsi="Times New Roman" w:cs="Times New Roman"/>
          <w:b/>
          <w:bCs/>
          <w:color w:val="auto"/>
          <w:sz w:val="28"/>
          <w:szCs w:val="36"/>
          <w:highlight w:val="none"/>
        </w:rPr>
        <w:fldChar w:fldCharType="end"/>
      </w:r>
      <w:r>
        <w:rPr>
          <w:rFonts w:hint="default" w:ascii="Times New Roman" w:hAnsi="Times New Roman" w:cs="Times New Roman"/>
          <w:b/>
          <w:bCs/>
          <w:color w:val="auto"/>
          <w:sz w:val="28"/>
          <w:szCs w:val="36"/>
          <w:highlight w:val="none"/>
          <w:lang w:eastAsia="zh-CN"/>
        </w:rPr>
        <w:fldChar w:fldCharType="end"/>
      </w:r>
    </w:p>
    <w:p>
      <w:pPr>
        <w:pStyle w:val="2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lang w:eastAsia="zh-CN"/>
        </w:rPr>
        <w:fldChar w:fldCharType="begin"/>
      </w:r>
      <w:r>
        <w:rPr>
          <w:rFonts w:hint="default" w:ascii="Times New Roman" w:hAnsi="Times New Roman" w:cs="Times New Roman"/>
          <w:b/>
          <w:bCs/>
          <w:color w:val="auto"/>
          <w:sz w:val="28"/>
          <w:szCs w:val="36"/>
          <w:highlight w:val="none"/>
          <w:lang w:eastAsia="zh-CN"/>
        </w:rPr>
        <w:instrText xml:space="preserve"> HYPERLINK \l _Toc2116 </w:instrText>
      </w:r>
      <w:r>
        <w:rPr>
          <w:rFonts w:hint="default" w:ascii="Times New Roman" w:hAnsi="Times New Roman" w:cs="Times New Roman"/>
          <w:b/>
          <w:bCs/>
          <w:color w:val="auto"/>
          <w:sz w:val="28"/>
          <w:szCs w:val="36"/>
          <w:highlight w:val="none"/>
          <w:lang w:eastAsia="zh-CN"/>
        </w:rPr>
        <w:fldChar w:fldCharType="separate"/>
      </w:r>
      <w:r>
        <w:rPr>
          <w:rFonts w:hint="default" w:ascii="Times New Roman" w:hAnsi="Times New Roman" w:cs="Times New Roman"/>
          <w:b/>
          <w:bCs/>
          <w:color w:val="auto"/>
          <w:sz w:val="28"/>
          <w:szCs w:val="36"/>
          <w:highlight w:val="none"/>
        </w:rPr>
        <w:t>第四章 评标办法及评分标准</w:t>
      </w:r>
      <w:r>
        <w:rPr>
          <w:rFonts w:hint="default" w:ascii="Times New Roman" w:hAnsi="Times New Roman" w:cs="Times New Roman"/>
          <w:b/>
          <w:bCs/>
          <w:color w:val="auto"/>
          <w:sz w:val="28"/>
          <w:szCs w:val="36"/>
          <w:highlight w:val="none"/>
        </w:rPr>
        <w:tab/>
      </w:r>
      <w:r>
        <w:rPr>
          <w:rFonts w:hint="default" w:ascii="Times New Roman" w:hAnsi="Times New Roman" w:cs="Times New Roman"/>
          <w:b/>
          <w:bCs/>
          <w:color w:val="auto"/>
          <w:sz w:val="28"/>
          <w:szCs w:val="36"/>
          <w:highlight w:val="none"/>
        </w:rPr>
        <w:fldChar w:fldCharType="begin"/>
      </w:r>
      <w:r>
        <w:rPr>
          <w:rFonts w:hint="default" w:ascii="Times New Roman" w:hAnsi="Times New Roman" w:cs="Times New Roman"/>
          <w:b/>
          <w:bCs/>
          <w:color w:val="auto"/>
          <w:sz w:val="28"/>
          <w:szCs w:val="36"/>
          <w:highlight w:val="none"/>
        </w:rPr>
        <w:instrText xml:space="preserve"> PAGEREF _Toc2116 \h </w:instrText>
      </w:r>
      <w:r>
        <w:rPr>
          <w:rFonts w:hint="default" w:ascii="Times New Roman" w:hAnsi="Times New Roman" w:cs="Times New Roman"/>
          <w:b/>
          <w:bCs/>
          <w:color w:val="auto"/>
          <w:sz w:val="28"/>
          <w:szCs w:val="36"/>
          <w:highlight w:val="none"/>
        </w:rPr>
        <w:fldChar w:fldCharType="separate"/>
      </w:r>
      <w:r>
        <w:rPr>
          <w:rFonts w:hint="default" w:ascii="Times New Roman" w:hAnsi="Times New Roman" w:cs="Times New Roman"/>
          <w:b/>
          <w:bCs/>
          <w:color w:val="auto"/>
          <w:sz w:val="28"/>
          <w:szCs w:val="36"/>
          <w:highlight w:val="none"/>
        </w:rPr>
        <w:t>23</w:t>
      </w:r>
      <w:r>
        <w:rPr>
          <w:rFonts w:hint="default" w:ascii="Times New Roman" w:hAnsi="Times New Roman" w:cs="Times New Roman"/>
          <w:b/>
          <w:bCs/>
          <w:color w:val="auto"/>
          <w:sz w:val="28"/>
          <w:szCs w:val="36"/>
          <w:highlight w:val="none"/>
        </w:rPr>
        <w:fldChar w:fldCharType="end"/>
      </w:r>
      <w:r>
        <w:rPr>
          <w:rFonts w:hint="default" w:ascii="Times New Roman" w:hAnsi="Times New Roman" w:cs="Times New Roman"/>
          <w:b/>
          <w:bCs/>
          <w:color w:val="auto"/>
          <w:sz w:val="28"/>
          <w:szCs w:val="36"/>
          <w:highlight w:val="none"/>
          <w:lang w:eastAsia="zh-CN"/>
        </w:rPr>
        <w:fldChar w:fldCharType="end"/>
      </w:r>
    </w:p>
    <w:p>
      <w:pPr>
        <w:pStyle w:val="2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lang w:eastAsia="zh-CN"/>
        </w:rPr>
        <w:fldChar w:fldCharType="begin"/>
      </w:r>
      <w:r>
        <w:rPr>
          <w:rFonts w:hint="default" w:ascii="Times New Roman" w:hAnsi="Times New Roman" w:cs="Times New Roman"/>
          <w:b/>
          <w:bCs/>
          <w:color w:val="auto"/>
          <w:sz w:val="28"/>
          <w:szCs w:val="36"/>
          <w:highlight w:val="none"/>
          <w:lang w:eastAsia="zh-CN"/>
        </w:rPr>
        <w:instrText xml:space="preserve"> HYPERLINK \l _Toc4252 </w:instrText>
      </w:r>
      <w:r>
        <w:rPr>
          <w:rFonts w:hint="default" w:ascii="Times New Roman" w:hAnsi="Times New Roman" w:cs="Times New Roman"/>
          <w:b/>
          <w:bCs/>
          <w:color w:val="auto"/>
          <w:sz w:val="28"/>
          <w:szCs w:val="36"/>
          <w:highlight w:val="none"/>
          <w:lang w:eastAsia="zh-CN"/>
        </w:rPr>
        <w:fldChar w:fldCharType="separate"/>
      </w:r>
      <w:r>
        <w:rPr>
          <w:rFonts w:hint="default" w:ascii="Times New Roman" w:hAnsi="Times New Roman" w:cs="Times New Roman"/>
          <w:b/>
          <w:bCs/>
          <w:color w:val="auto"/>
          <w:sz w:val="28"/>
          <w:szCs w:val="36"/>
          <w:highlight w:val="none"/>
        </w:rPr>
        <w:t>第五章 政府采购合同主要条款</w:t>
      </w:r>
      <w:r>
        <w:rPr>
          <w:rFonts w:hint="default" w:ascii="Times New Roman" w:hAnsi="Times New Roman" w:cs="Times New Roman"/>
          <w:b/>
          <w:bCs/>
          <w:color w:val="auto"/>
          <w:sz w:val="28"/>
          <w:szCs w:val="36"/>
          <w:highlight w:val="none"/>
        </w:rPr>
        <w:tab/>
      </w:r>
      <w:r>
        <w:rPr>
          <w:rFonts w:hint="default" w:ascii="Times New Roman" w:hAnsi="Times New Roman" w:cs="Times New Roman"/>
          <w:b/>
          <w:bCs/>
          <w:color w:val="auto"/>
          <w:sz w:val="28"/>
          <w:szCs w:val="36"/>
          <w:highlight w:val="none"/>
        </w:rPr>
        <w:fldChar w:fldCharType="begin"/>
      </w:r>
      <w:r>
        <w:rPr>
          <w:rFonts w:hint="default" w:ascii="Times New Roman" w:hAnsi="Times New Roman" w:cs="Times New Roman"/>
          <w:b/>
          <w:bCs/>
          <w:color w:val="auto"/>
          <w:sz w:val="28"/>
          <w:szCs w:val="36"/>
          <w:highlight w:val="none"/>
        </w:rPr>
        <w:instrText xml:space="preserve"> PAGEREF _Toc4252 \h </w:instrText>
      </w:r>
      <w:r>
        <w:rPr>
          <w:rFonts w:hint="default" w:ascii="Times New Roman" w:hAnsi="Times New Roman" w:cs="Times New Roman"/>
          <w:b/>
          <w:bCs/>
          <w:color w:val="auto"/>
          <w:sz w:val="28"/>
          <w:szCs w:val="36"/>
          <w:highlight w:val="none"/>
        </w:rPr>
        <w:fldChar w:fldCharType="separate"/>
      </w:r>
      <w:r>
        <w:rPr>
          <w:rFonts w:hint="default" w:ascii="Times New Roman" w:hAnsi="Times New Roman" w:cs="Times New Roman"/>
          <w:b/>
          <w:bCs/>
          <w:color w:val="auto"/>
          <w:sz w:val="28"/>
          <w:szCs w:val="36"/>
          <w:highlight w:val="none"/>
        </w:rPr>
        <w:t>28</w:t>
      </w:r>
      <w:r>
        <w:rPr>
          <w:rFonts w:hint="default" w:ascii="Times New Roman" w:hAnsi="Times New Roman" w:cs="Times New Roman"/>
          <w:b/>
          <w:bCs/>
          <w:color w:val="auto"/>
          <w:sz w:val="28"/>
          <w:szCs w:val="36"/>
          <w:highlight w:val="none"/>
        </w:rPr>
        <w:fldChar w:fldCharType="end"/>
      </w:r>
      <w:r>
        <w:rPr>
          <w:rFonts w:hint="default" w:ascii="Times New Roman" w:hAnsi="Times New Roman" w:cs="Times New Roman"/>
          <w:b/>
          <w:bCs/>
          <w:color w:val="auto"/>
          <w:sz w:val="28"/>
          <w:szCs w:val="36"/>
          <w:highlight w:val="none"/>
          <w:lang w:eastAsia="zh-CN"/>
        </w:rPr>
        <w:fldChar w:fldCharType="end"/>
      </w:r>
    </w:p>
    <w:p>
      <w:pPr>
        <w:pStyle w:val="2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lang w:eastAsia="zh-CN"/>
        </w:rPr>
        <w:fldChar w:fldCharType="begin"/>
      </w:r>
      <w:r>
        <w:rPr>
          <w:rFonts w:hint="default" w:ascii="Times New Roman" w:hAnsi="Times New Roman" w:cs="Times New Roman"/>
          <w:b/>
          <w:bCs/>
          <w:color w:val="auto"/>
          <w:sz w:val="28"/>
          <w:szCs w:val="36"/>
          <w:highlight w:val="none"/>
          <w:lang w:eastAsia="zh-CN"/>
        </w:rPr>
        <w:instrText xml:space="preserve"> HYPERLINK \l _Toc17600 </w:instrText>
      </w:r>
      <w:r>
        <w:rPr>
          <w:rFonts w:hint="default" w:ascii="Times New Roman" w:hAnsi="Times New Roman" w:cs="Times New Roman"/>
          <w:b/>
          <w:bCs/>
          <w:color w:val="auto"/>
          <w:sz w:val="28"/>
          <w:szCs w:val="36"/>
          <w:highlight w:val="none"/>
          <w:lang w:eastAsia="zh-CN"/>
        </w:rPr>
        <w:fldChar w:fldCharType="separate"/>
      </w:r>
      <w:r>
        <w:rPr>
          <w:rFonts w:hint="default" w:ascii="Times New Roman" w:hAnsi="Times New Roman" w:cs="Times New Roman"/>
          <w:b/>
          <w:bCs/>
          <w:color w:val="auto"/>
          <w:sz w:val="28"/>
          <w:szCs w:val="36"/>
          <w:highlight w:val="none"/>
        </w:rPr>
        <w:t>第六章 投标文件格式</w:t>
      </w:r>
      <w:r>
        <w:rPr>
          <w:rFonts w:hint="default" w:ascii="Times New Roman" w:hAnsi="Times New Roman" w:cs="Times New Roman"/>
          <w:b/>
          <w:bCs/>
          <w:color w:val="auto"/>
          <w:sz w:val="28"/>
          <w:szCs w:val="36"/>
          <w:highlight w:val="none"/>
        </w:rPr>
        <w:tab/>
      </w:r>
      <w:r>
        <w:rPr>
          <w:rFonts w:hint="default" w:ascii="Times New Roman" w:hAnsi="Times New Roman" w:cs="Times New Roman"/>
          <w:b/>
          <w:bCs/>
          <w:color w:val="auto"/>
          <w:sz w:val="28"/>
          <w:szCs w:val="36"/>
          <w:highlight w:val="none"/>
        </w:rPr>
        <w:fldChar w:fldCharType="begin"/>
      </w:r>
      <w:r>
        <w:rPr>
          <w:rFonts w:hint="default" w:ascii="Times New Roman" w:hAnsi="Times New Roman" w:cs="Times New Roman"/>
          <w:b/>
          <w:bCs/>
          <w:color w:val="auto"/>
          <w:sz w:val="28"/>
          <w:szCs w:val="36"/>
          <w:highlight w:val="none"/>
        </w:rPr>
        <w:instrText xml:space="preserve"> PAGEREF _Toc17600 \h </w:instrText>
      </w:r>
      <w:r>
        <w:rPr>
          <w:rFonts w:hint="default" w:ascii="Times New Roman" w:hAnsi="Times New Roman" w:cs="Times New Roman"/>
          <w:b/>
          <w:bCs/>
          <w:color w:val="auto"/>
          <w:sz w:val="28"/>
          <w:szCs w:val="36"/>
          <w:highlight w:val="none"/>
        </w:rPr>
        <w:fldChar w:fldCharType="separate"/>
      </w:r>
      <w:r>
        <w:rPr>
          <w:rFonts w:hint="default" w:ascii="Times New Roman" w:hAnsi="Times New Roman" w:cs="Times New Roman"/>
          <w:b/>
          <w:bCs/>
          <w:color w:val="auto"/>
          <w:sz w:val="28"/>
          <w:szCs w:val="36"/>
          <w:highlight w:val="none"/>
        </w:rPr>
        <w:t>31</w:t>
      </w:r>
      <w:r>
        <w:rPr>
          <w:rFonts w:hint="default" w:ascii="Times New Roman" w:hAnsi="Times New Roman" w:cs="Times New Roman"/>
          <w:b/>
          <w:bCs/>
          <w:color w:val="auto"/>
          <w:sz w:val="28"/>
          <w:szCs w:val="36"/>
          <w:highlight w:val="none"/>
        </w:rPr>
        <w:fldChar w:fldCharType="end"/>
      </w:r>
      <w:r>
        <w:rPr>
          <w:rFonts w:hint="default" w:ascii="Times New Roman" w:hAnsi="Times New Roman" w:cs="Times New Roman"/>
          <w:b/>
          <w:bCs/>
          <w:color w:val="auto"/>
          <w:sz w:val="28"/>
          <w:szCs w:val="36"/>
          <w:highlight w:val="none"/>
          <w:lang w:eastAsia="zh-CN"/>
        </w:rPr>
        <w:fldChar w:fldCharType="end"/>
      </w:r>
    </w:p>
    <w:p>
      <w:pPr>
        <w:pStyle w:val="16"/>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highlight w:val="none"/>
          <w:lang w:eastAsia="zh-CN"/>
        </w:rPr>
      </w:pPr>
      <w:r>
        <w:rPr>
          <w:rFonts w:hint="default" w:ascii="Times New Roman" w:hAnsi="Times New Roman" w:cs="Times New Roman"/>
          <w:b/>
          <w:bCs/>
          <w:color w:val="auto"/>
          <w:sz w:val="40"/>
          <w:szCs w:val="36"/>
          <w:highlight w:val="none"/>
          <w:lang w:eastAsia="zh-CN"/>
        </w:rPr>
        <w:fldChar w:fldCharType="end"/>
      </w:r>
    </w:p>
    <w:p>
      <w:pPr>
        <w:pStyle w:val="22"/>
        <w:snapToGrid w:val="0"/>
        <w:spacing w:before="120" w:beforeLines="0" w:after="120" w:afterLines="0" w:line="360" w:lineRule="auto"/>
        <w:jc w:val="center"/>
        <w:rPr>
          <w:rFonts w:hint="default" w:ascii="Times New Roman" w:hAnsi="Times New Roman" w:cs="Times New Roman"/>
          <w:b/>
          <w:color w:val="auto"/>
          <w:sz w:val="30"/>
          <w:szCs w:val="30"/>
          <w:highlight w:val="none"/>
        </w:rPr>
      </w:pPr>
    </w:p>
    <w:p>
      <w:pPr>
        <w:pStyle w:val="22"/>
        <w:snapToGrid w:val="0"/>
        <w:spacing w:before="120" w:beforeLines="0" w:after="120" w:afterLines="0" w:line="360" w:lineRule="auto"/>
        <w:jc w:val="center"/>
        <w:rPr>
          <w:rFonts w:hint="default" w:ascii="Times New Roman" w:hAnsi="Times New Roman" w:cs="Times New Roman"/>
          <w:b/>
          <w:color w:val="auto"/>
          <w:sz w:val="30"/>
          <w:szCs w:val="30"/>
          <w:highlight w:val="none"/>
        </w:rPr>
      </w:pPr>
    </w:p>
    <w:p>
      <w:pPr>
        <w:pStyle w:val="22"/>
        <w:snapToGrid w:val="0"/>
        <w:spacing w:before="120" w:beforeLines="0" w:after="120" w:afterLines="0" w:line="360" w:lineRule="auto"/>
        <w:jc w:val="center"/>
        <w:rPr>
          <w:rFonts w:hint="default" w:ascii="Times New Roman" w:hAnsi="Times New Roman" w:cs="Times New Roman"/>
          <w:b/>
          <w:color w:val="auto"/>
          <w:highlight w:val="none"/>
        </w:rPr>
        <w:sectPr>
          <w:pgSz w:w="11906" w:h="16838"/>
          <w:pgMar w:top="1440" w:right="1803" w:bottom="1440" w:left="1803" w:header="851" w:footer="850" w:gutter="0"/>
          <w:pgNumType w:start="1"/>
          <w:cols w:space="720" w:num="1"/>
          <w:docGrid w:linePitch="312" w:charSpace="0"/>
        </w:sectPr>
      </w:pPr>
    </w:p>
    <w:p>
      <w:pPr>
        <w:pStyle w:val="22"/>
        <w:snapToGrid w:val="0"/>
        <w:spacing w:before="120" w:beforeLines="0" w:after="120" w:afterLines="0" w:line="360" w:lineRule="auto"/>
        <w:jc w:val="center"/>
        <w:outlineLvl w:val="0"/>
        <w:rPr>
          <w:rFonts w:hint="default" w:ascii="Times New Roman" w:hAnsi="Times New Roman" w:cs="Times New Roman"/>
          <w:b/>
          <w:color w:val="auto"/>
          <w:highlight w:val="none"/>
        </w:rPr>
      </w:pPr>
      <w:bookmarkStart w:id="0" w:name="_Toc27329"/>
      <w:bookmarkStart w:id="1" w:name="_Toc19333"/>
      <w:bookmarkStart w:id="2" w:name="_Toc10866_WPSOffice_Level1"/>
      <w:bookmarkStart w:id="3" w:name="_Toc29184"/>
      <w:bookmarkStart w:id="4" w:name="_Toc18034"/>
      <w:bookmarkStart w:id="5" w:name="_Toc3022"/>
      <w:bookmarkStart w:id="6" w:name="_Toc16798"/>
      <w:bookmarkStart w:id="7" w:name="_Toc27661"/>
      <w:bookmarkStart w:id="67" w:name="_GoBack"/>
      <w:bookmarkEnd w:id="67"/>
      <w:r>
        <w:rPr>
          <w:rFonts w:hint="default" w:ascii="Times New Roman" w:hAnsi="Times New Roman" w:cs="Times New Roman"/>
          <w:b/>
          <w:color w:val="auto"/>
          <w:highlight w:val="none"/>
        </w:rPr>
        <w:t>第一章 公开招标采购公告</w:t>
      </w:r>
      <w:bookmarkEnd w:id="0"/>
      <w:bookmarkEnd w:id="1"/>
      <w:bookmarkEnd w:id="2"/>
      <w:bookmarkEnd w:id="3"/>
      <w:bookmarkEnd w:id="4"/>
      <w:bookmarkEnd w:id="5"/>
      <w:bookmarkEnd w:id="6"/>
      <w:bookmarkEnd w:id="7"/>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 w:hRule="atLeast"/>
        </w:trPr>
        <w:tc>
          <w:tcPr>
            <w:tcW w:w="8528" w:type="dxa"/>
            <w:noWrap w:val="0"/>
            <w:vAlign w:val="top"/>
          </w:tcPr>
          <w:p>
            <w:pPr>
              <w:widowControl/>
              <w:spacing w:line="360" w:lineRule="auto"/>
              <w:jc w:val="left"/>
              <w:textAlignment w:val="baseline"/>
              <w:rPr>
                <w:rFonts w:hint="default" w:ascii="Times New Roman" w:hAnsi="Times New Roman" w:cs="Times New Roman"/>
                <w:b/>
                <w:bCs/>
                <w:color w:val="auto"/>
                <w:szCs w:val="21"/>
                <w:highlight w:val="none"/>
              </w:rPr>
            </w:pPr>
            <w:bookmarkStart w:id="8" w:name="_Toc7417_WPSOffice_Level1"/>
            <w:r>
              <w:rPr>
                <w:rFonts w:hint="default" w:ascii="Times New Roman" w:hAnsi="Times New Roman" w:cs="Times New Roman"/>
                <w:b/>
                <w:bCs/>
                <w:color w:val="auto"/>
                <w:szCs w:val="21"/>
                <w:highlight w:val="none"/>
              </w:rPr>
              <w:t>项目概况</w:t>
            </w:r>
          </w:p>
          <w:p>
            <w:pPr>
              <w:snapToGrid w:val="0"/>
              <w:spacing w:line="360" w:lineRule="auto"/>
              <w:ind w:firstLine="420" w:firstLineChars="200"/>
              <w:rPr>
                <w:rFonts w:hint="default" w:ascii="Times New Roman" w:hAnsi="Times New Roman" w:cs="Times New Roman"/>
                <w:color w:val="auto"/>
                <w:szCs w:val="21"/>
                <w:highlight w:val="none"/>
              </w:rPr>
            </w:pPr>
            <w:r>
              <w:rPr>
                <w:rFonts w:hint="eastAsia" w:cs="Times New Roman"/>
                <w:color w:val="auto"/>
                <w:szCs w:val="21"/>
                <w:highlight w:val="none"/>
                <w:u w:val="single"/>
                <w:shd w:val="clear" w:color="auto" w:fill="FFFFFF"/>
                <w:lang w:eastAsia="zh-CN"/>
              </w:rPr>
              <w:t>2024年城乡文明程度指数第三方专业测评服务项目</w:t>
            </w:r>
            <w:r>
              <w:rPr>
                <w:rFonts w:hint="default" w:ascii="Times New Roman" w:hAnsi="Times New Roman" w:cs="Times New Roman"/>
                <w:color w:val="auto"/>
                <w:szCs w:val="21"/>
                <w:highlight w:val="none"/>
                <w:shd w:val="clear" w:color="auto" w:fill="FFFFFF"/>
              </w:rPr>
              <w:t>招标项目的潜在投标人应在</w:t>
            </w:r>
            <w:r>
              <w:rPr>
                <w:rFonts w:hint="default" w:ascii="Times New Roman" w:hAnsi="Times New Roman" w:cs="Times New Roman"/>
                <w:color w:val="auto"/>
                <w:szCs w:val="21"/>
                <w:highlight w:val="none"/>
                <w:u w:val="single"/>
                <w:shd w:val="clear" w:color="auto" w:fill="FFFFFF"/>
              </w:rPr>
              <w:t>政采云平台（</w:t>
            </w:r>
            <w:r>
              <w:rPr>
                <w:rFonts w:hint="default" w:ascii="Times New Roman" w:hAnsi="Times New Roman" w:cs="Times New Roman"/>
                <w:color w:val="auto"/>
                <w:szCs w:val="21"/>
                <w:highlight w:val="none"/>
                <w:u w:val="single"/>
              </w:rPr>
              <w:t>www.zcygov.cn</w:t>
            </w:r>
            <w:r>
              <w:rPr>
                <w:rFonts w:hint="default" w:ascii="Times New Roman" w:hAnsi="Times New Roman" w:cs="Times New Roman"/>
                <w:color w:val="auto"/>
                <w:szCs w:val="21"/>
                <w:highlight w:val="none"/>
                <w:u w:val="single"/>
                <w:shd w:val="clear" w:color="auto" w:fill="FFFFFF"/>
              </w:rPr>
              <w:t>）</w:t>
            </w:r>
            <w:r>
              <w:rPr>
                <w:rFonts w:hint="default" w:ascii="Times New Roman" w:hAnsi="Times New Roman" w:cs="Times New Roman"/>
                <w:color w:val="auto"/>
                <w:szCs w:val="21"/>
                <w:highlight w:val="none"/>
                <w:shd w:val="clear" w:color="auto" w:fill="FFFFFF"/>
              </w:rPr>
              <w:t>获取（下载）招标文件，并于</w:t>
            </w:r>
            <w:r>
              <w:rPr>
                <w:rFonts w:hint="eastAsia" w:cs="Times New Roman"/>
                <w:color w:val="auto"/>
                <w:szCs w:val="21"/>
                <w:highlight w:val="none"/>
                <w:u w:val="single"/>
                <w:shd w:val="clear" w:color="auto" w:fill="FFFFFF"/>
                <w:lang w:eastAsia="zh-CN"/>
              </w:rPr>
              <w:t>2024</w:t>
            </w:r>
            <w:r>
              <w:rPr>
                <w:rFonts w:hint="default" w:ascii="Times New Roman" w:hAnsi="Times New Roman" w:cs="Times New Roman"/>
                <w:color w:val="auto"/>
                <w:szCs w:val="21"/>
                <w:highlight w:val="none"/>
                <w:u w:val="single"/>
                <w:shd w:val="clear" w:color="auto" w:fill="FFFFFF"/>
              </w:rPr>
              <w:t>年</w:t>
            </w:r>
            <w:r>
              <w:rPr>
                <w:rFonts w:hint="eastAsia" w:cs="Times New Roman"/>
                <w:color w:val="auto"/>
                <w:szCs w:val="21"/>
                <w:highlight w:val="none"/>
                <w:u w:val="single"/>
                <w:shd w:val="clear" w:color="auto" w:fill="FFFFFF"/>
                <w:lang w:val="en-US" w:eastAsia="zh-CN"/>
              </w:rPr>
              <w:t>2</w:t>
            </w:r>
            <w:r>
              <w:rPr>
                <w:rFonts w:hint="default" w:ascii="Times New Roman" w:hAnsi="Times New Roman" w:cs="Times New Roman"/>
                <w:color w:val="auto"/>
                <w:szCs w:val="21"/>
                <w:highlight w:val="none"/>
                <w:u w:val="single"/>
                <w:shd w:val="clear" w:color="auto" w:fill="FFFFFF"/>
              </w:rPr>
              <w:t>月</w:t>
            </w:r>
            <w:r>
              <w:rPr>
                <w:rFonts w:hint="eastAsia" w:cs="Times New Roman"/>
                <w:color w:val="auto"/>
                <w:szCs w:val="21"/>
                <w:highlight w:val="none"/>
                <w:u w:val="single"/>
                <w:shd w:val="clear" w:color="auto" w:fill="FFFFFF"/>
                <w:lang w:val="en-US" w:eastAsia="zh-CN"/>
              </w:rPr>
              <w:t>21</w:t>
            </w:r>
            <w:r>
              <w:rPr>
                <w:rFonts w:hint="default" w:ascii="Times New Roman" w:hAnsi="Times New Roman" w:cs="Times New Roman"/>
                <w:color w:val="auto"/>
                <w:szCs w:val="21"/>
                <w:highlight w:val="none"/>
                <w:u w:val="single"/>
                <w:shd w:val="clear" w:color="auto" w:fill="FFFFFF"/>
              </w:rPr>
              <w:t>日14：00</w:t>
            </w:r>
            <w:r>
              <w:rPr>
                <w:rFonts w:hint="default" w:ascii="Times New Roman" w:hAnsi="Times New Roman" w:cs="Times New Roman"/>
                <w:color w:val="auto"/>
                <w:szCs w:val="21"/>
                <w:highlight w:val="none"/>
                <w:shd w:val="clear" w:color="auto" w:fill="FFFFFF"/>
              </w:rPr>
              <w:t>（北京时间，下同）前递交（上传）投标文件</w:t>
            </w:r>
            <w:r>
              <w:rPr>
                <w:rFonts w:hint="default" w:ascii="Times New Roman" w:hAnsi="Times New Roman" w:cs="Times New Roman"/>
                <w:color w:val="auto"/>
                <w:szCs w:val="21"/>
                <w:highlight w:val="none"/>
              </w:rPr>
              <w:t>。</w:t>
            </w:r>
          </w:p>
        </w:tc>
      </w:tr>
    </w:tbl>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一、项目基本情况</w:t>
      </w:r>
    </w:p>
    <w:p>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项目编号：</w:t>
      </w:r>
      <w:r>
        <w:rPr>
          <w:rFonts w:hint="eastAsia" w:cs="Times New Roman"/>
          <w:color w:val="auto"/>
          <w:szCs w:val="21"/>
          <w:highlight w:val="none"/>
          <w:lang w:eastAsia="zh-CN"/>
        </w:rPr>
        <w:t>科信建代字[2024]100037号</w:t>
      </w:r>
    </w:p>
    <w:p>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cs="Times New Roman"/>
          <w:color w:val="auto"/>
          <w:szCs w:val="21"/>
          <w:highlight w:val="none"/>
          <w:lang w:eastAsia="zh-CN"/>
        </w:rPr>
        <w:t>2024年城乡文明程度指数第三方专业测评服务项目</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预算金额（元）</w:t>
      </w:r>
      <w:r>
        <w:rPr>
          <w:rFonts w:hint="default" w:ascii="Times New Roman" w:hAnsi="Times New Roman" w:cs="Times New Roman"/>
          <w:color w:val="auto"/>
          <w:szCs w:val="21"/>
          <w:highlight w:val="none"/>
          <w:lang w:eastAsia="zh-CN"/>
        </w:rPr>
        <w:t>：</w:t>
      </w:r>
      <w:r>
        <w:rPr>
          <w:rFonts w:hint="eastAsia" w:cs="Times New Roman"/>
          <w:color w:val="auto"/>
          <w:szCs w:val="21"/>
          <w:highlight w:val="none"/>
          <w:lang w:val="en-US" w:eastAsia="zh-CN"/>
        </w:rPr>
        <w:t>550000.00</w:t>
      </w:r>
    </w:p>
    <w:p>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最高限价（元）：</w:t>
      </w:r>
      <w:r>
        <w:rPr>
          <w:rFonts w:hint="eastAsia" w:cs="Times New Roman"/>
          <w:color w:val="auto"/>
          <w:szCs w:val="21"/>
          <w:highlight w:val="none"/>
          <w:lang w:val="en-US" w:eastAsia="zh-CN"/>
        </w:rPr>
        <w:t>550000.00</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采购需求：</w:t>
      </w:r>
    </w:p>
    <w:p>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标项名称：</w:t>
      </w:r>
      <w:r>
        <w:rPr>
          <w:rFonts w:hint="eastAsia" w:cs="Times New Roman"/>
          <w:color w:val="auto"/>
          <w:szCs w:val="21"/>
          <w:highlight w:val="none"/>
          <w:lang w:eastAsia="zh-CN"/>
        </w:rPr>
        <w:t>2024年城乡文明程度指数第三方专业测评服务项目</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数量：1  </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预算金额（元）：</w:t>
      </w:r>
      <w:r>
        <w:rPr>
          <w:rFonts w:hint="eastAsia" w:cs="Times New Roman"/>
          <w:color w:val="auto"/>
          <w:szCs w:val="21"/>
          <w:highlight w:val="none"/>
          <w:lang w:val="en-US" w:eastAsia="zh-CN"/>
        </w:rPr>
        <w:t>550000.00</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简要规格描述或项目基本概况介绍、用途：</w:t>
      </w:r>
      <w:r>
        <w:rPr>
          <w:rFonts w:hint="eastAsia" w:cs="Times New Roman"/>
          <w:color w:val="auto"/>
          <w:szCs w:val="21"/>
          <w:highlight w:val="none"/>
          <w:lang w:eastAsia="zh-CN"/>
        </w:rPr>
        <w:t>2024年城乡文明程度指数第三方专业测评服务</w:t>
      </w:r>
      <w:r>
        <w:rPr>
          <w:rFonts w:hint="default" w:ascii="Times New Roman" w:hAnsi="Times New Roman" w:cs="Times New Roman"/>
          <w:color w:val="auto"/>
          <w:szCs w:val="21"/>
          <w:highlight w:val="none"/>
        </w:rPr>
        <w:t>，具体详见采购文件。</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r>
        <w:rPr>
          <w:rFonts w:hint="default" w:ascii="Times New Roman" w:hAnsi="Times New Roman" w:cs="Times New Roman"/>
          <w:color w:val="auto"/>
          <w:szCs w:val="21"/>
          <w:highlight w:val="none"/>
          <w:lang w:val="en-US" w:eastAsia="zh-CN"/>
        </w:rPr>
        <w:t>/。</w:t>
      </w:r>
    </w:p>
    <w:p>
      <w:pPr>
        <w:spacing w:line="360" w:lineRule="auto"/>
        <w:ind w:firstLine="420" w:firstLineChars="200"/>
        <w:rPr>
          <w:rFonts w:hint="default" w:ascii="Times New Roman" w:hAnsi="Times New Roman" w:cs="Times New Roman"/>
          <w:i/>
          <w:iCs/>
          <w:color w:val="auto"/>
          <w:szCs w:val="21"/>
          <w:highlight w:val="none"/>
        </w:rPr>
      </w:pPr>
      <w:r>
        <w:rPr>
          <w:rFonts w:hint="default" w:ascii="Times New Roman" w:hAnsi="Times New Roman" w:cs="Times New Roman"/>
          <w:color w:val="auto"/>
          <w:szCs w:val="21"/>
          <w:highlight w:val="none"/>
        </w:rPr>
        <w:t>合同履行期限：</w:t>
      </w:r>
      <w:r>
        <w:rPr>
          <w:rFonts w:hint="default" w:ascii="Times New Roman" w:hAnsi="Times New Roman" w:cs="Times New Roman"/>
          <w:color w:val="auto"/>
          <w:highlight w:val="none"/>
          <w:u w:val="none"/>
        </w:rPr>
        <w:t>标项1</w:t>
      </w:r>
      <w:r>
        <w:rPr>
          <w:rFonts w:hint="default" w:ascii="Times New Roman" w:hAnsi="Times New Roman" w:cs="Times New Roman"/>
          <w:color w:val="auto"/>
          <w:highlight w:val="none"/>
          <w:u w:val="none"/>
          <w:lang w:eastAsia="zh-CN"/>
        </w:rPr>
        <w:t>，</w:t>
      </w:r>
      <w:r>
        <w:rPr>
          <w:rFonts w:hint="eastAsia" w:cs="Times New Roman"/>
          <w:color w:val="auto"/>
          <w:highlight w:val="none"/>
          <w:u w:val="none"/>
          <w:lang w:val="en-US" w:eastAsia="zh-CN"/>
        </w:rPr>
        <w:t>自合同签订之日起10个月</w:t>
      </w:r>
      <w:r>
        <w:rPr>
          <w:rFonts w:hint="default" w:ascii="Times New Roman" w:hAnsi="Times New Roman" w:cs="Times New Roman"/>
          <w:color w:val="auto"/>
          <w:szCs w:val="21"/>
          <w:highlight w:val="none"/>
        </w:rPr>
        <w:t>。</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本项目（否）接受联合体投标。</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二、申请人的资格要求：</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2、落实政府采购政策需满足的资格要求：</w:t>
      </w:r>
      <w:r>
        <w:rPr>
          <w:color w:val="auto"/>
          <w:szCs w:val="21"/>
          <w:highlight w:val="none"/>
        </w:rPr>
        <w:t>标项1：本项目专门面向中小企业采购（残疾人福利性单位和监狱企业视同小微企业）。</w:t>
      </w:r>
    </w:p>
    <w:p>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3、本项目的特定资格要求：</w:t>
      </w:r>
      <w:r>
        <w:rPr>
          <w:rFonts w:hint="default" w:ascii="Times New Roman" w:hAnsi="Times New Roman" w:eastAsia="宋体" w:cs="Times New Roman"/>
          <w:color w:val="auto"/>
          <w:szCs w:val="21"/>
          <w:highlight w:val="none"/>
          <w:lang w:val="en-US" w:eastAsia="zh-CN"/>
        </w:rPr>
        <w:t>无</w:t>
      </w:r>
      <w:r>
        <w:rPr>
          <w:rFonts w:hint="default" w:ascii="Times New Roman" w:hAnsi="Times New Roman" w:eastAsia="宋体" w:cs="Times New Roman"/>
          <w:color w:val="auto"/>
          <w:szCs w:val="21"/>
          <w:highlight w:val="none"/>
          <w:lang w:eastAsia="zh-CN"/>
        </w:rPr>
        <w:t>。</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三、获取招标文件</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时间：</w:t>
      </w:r>
      <w:r>
        <w:rPr>
          <w:rFonts w:hint="eastAsia" w:cs="Times New Roman"/>
          <w:color w:val="auto"/>
          <w:szCs w:val="21"/>
          <w:highlight w:val="none"/>
          <w:lang w:eastAsia="zh-CN"/>
        </w:rPr>
        <w:t>2024</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1</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31</w:t>
      </w:r>
      <w:r>
        <w:rPr>
          <w:rFonts w:hint="default" w:ascii="Times New Roman" w:hAnsi="Times New Roman" w:cs="Times New Roman"/>
          <w:color w:val="auto"/>
          <w:szCs w:val="21"/>
          <w:highlight w:val="none"/>
        </w:rPr>
        <w:t>日至</w:t>
      </w:r>
      <w:r>
        <w:rPr>
          <w:rFonts w:hint="eastAsia" w:cs="Times New Roman"/>
          <w:color w:val="auto"/>
          <w:szCs w:val="21"/>
          <w:highlight w:val="none"/>
          <w:lang w:eastAsia="zh-CN"/>
        </w:rPr>
        <w:t>2024</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日，每天上午00:00至12:00，下午12:00至23:59（北京时间，线上获取法定节假日均可，线下获取文件法定节假日除外）</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地点（网址）：政采云平台（www.zcygov.cn）。</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方式：本项目招标文件实行“政府采购云平台”在线获取，不提供招标文件纸质版。供应商获取招标文件前应先完成“政府采购云平台”的账号注册；潜在供应商</w:t>
      </w:r>
      <w:r>
        <w:rPr>
          <w:rFonts w:hint="eastAsia" w:cs="Times New Roman"/>
          <w:color w:val="auto"/>
          <w:szCs w:val="21"/>
          <w:highlight w:val="none"/>
          <w:lang w:eastAsia="zh-CN"/>
        </w:rPr>
        <w:t>登录</w:t>
      </w:r>
      <w:r>
        <w:rPr>
          <w:rFonts w:hint="default" w:ascii="Times New Roman" w:hAnsi="Times New Roman" w:cs="Times New Roman"/>
          <w:color w:val="auto"/>
          <w:szCs w:val="21"/>
          <w:highlight w:val="none"/>
        </w:rPr>
        <w:t xml:space="preserve">政采云平台，在线申请获取招标文件（进入“项目采购”应用，在获取招标文件菜单中选择项目，申请获取招标文件；仅需浏览招标文件的供应商可点击“游客，浏览招标文件”直接下载招标文件浏览）；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 </w:t>
      </w:r>
    </w:p>
    <w:p>
      <w:pPr>
        <w:spacing w:line="360" w:lineRule="auto"/>
        <w:ind w:firstLine="422" w:firstLineChars="200"/>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注：请投标人按上述要求获取招标文件，如未在“政采云”系统内完成相关流程，引起的投标无效责任自负。</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售价（元）：0 </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四、提交投标文件截止时间、开标时间和地点</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提交投标文件截止时间：</w:t>
      </w:r>
      <w:r>
        <w:rPr>
          <w:rFonts w:hint="eastAsia" w:cs="Times New Roman"/>
          <w:color w:val="auto"/>
          <w:szCs w:val="21"/>
          <w:highlight w:val="none"/>
          <w:u w:val="single"/>
          <w:shd w:val="clear" w:color="auto" w:fill="FFFFFF"/>
          <w:lang w:eastAsia="zh-CN"/>
        </w:rPr>
        <w:t>2024</w:t>
      </w:r>
      <w:r>
        <w:rPr>
          <w:rFonts w:hint="default" w:ascii="Times New Roman" w:hAnsi="Times New Roman" w:cs="Times New Roman"/>
          <w:color w:val="auto"/>
          <w:szCs w:val="21"/>
          <w:highlight w:val="none"/>
          <w:u w:val="single"/>
          <w:shd w:val="clear" w:color="auto" w:fill="FFFFFF"/>
        </w:rPr>
        <w:t>年</w:t>
      </w:r>
      <w:r>
        <w:rPr>
          <w:rFonts w:hint="eastAsia" w:cs="Times New Roman"/>
          <w:color w:val="auto"/>
          <w:szCs w:val="21"/>
          <w:highlight w:val="none"/>
          <w:u w:val="single"/>
          <w:lang w:val="en-US" w:eastAsia="zh-CN"/>
        </w:rPr>
        <w:t>2</w:t>
      </w:r>
      <w:r>
        <w:rPr>
          <w:rFonts w:hint="default" w:ascii="Times New Roman" w:hAnsi="Times New Roman" w:cs="Times New Roman"/>
          <w:color w:val="auto"/>
          <w:szCs w:val="21"/>
          <w:highlight w:val="none"/>
          <w:u w:val="single"/>
          <w:shd w:val="clear" w:color="auto" w:fill="FFFFFF"/>
        </w:rPr>
        <w:t>月</w:t>
      </w:r>
      <w:r>
        <w:rPr>
          <w:rFonts w:hint="eastAsia" w:cs="Times New Roman"/>
          <w:color w:val="auto"/>
          <w:szCs w:val="21"/>
          <w:highlight w:val="none"/>
          <w:u w:val="single"/>
          <w:lang w:val="en-US" w:eastAsia="zh-CN"/>
        </w:rPr>
        <w:t>21</w:t>
      </w:r>
      <w:r>
        <w:rPr>
          <w:rFonts w:hint="default" w:ascii="Times New Roman" w:hAnsi="Times New Roman" w:cs="Times New Roman"/>
          <w:color w:val="auto"/>
          <w:szCs w:val="21"/>
          <w:highlight w:val="none"/>
          <w:u w:val="single"/>
          <w:shd w:val="clear" w:color="auto" w:fill="FFFFFF"/>
        </w:rPr>
        <w:t>日14：00</w:t>
      </w:r>
      <w:r>
        <w:rPr>
          <w:rFonts w:hint="default" w:ascii="Times New Roman" w:hAnsi="Times New Roman" w:cs="Times New Roman"/>
          <w:color w:val="auto"/>
          <w:szCs w:val="21"/>
          <w:highlight w:val="none"/>
          <w:shd w:val="clear" w:color="auto" w:fill="FFFFFF"/>
        </w:rPr>
        <w:t>（北京时间）</w:t>
      </w:r>
    </w:p>
    <w:p>
      <w:pPr>
        <w:spacing w:line="360" w:lineRule="auto"/>
        <w:ind w:firstLine="420" w:firstLineChars="200"/>
        <w:rPr>
          <w:rFonts w:hint="default" w:ascii="Times New Roman" w:hAnsi="Times New Roman" w:eastAsia="宋体" w:cs="Times New Roman"/>
          <w:b/>
          <w:bCs/>
          <w:color w:val="auto"/>
          <w:szCs w:val="21"/>
          <w:highlight w:val="none"/>
          <w:u w:val="none"/>
          <w:lang w:eastAsia="zh-CN"/>
        </w:rPr>
      </w:pPr>
      <w:r>
        <w:rPr>
          <w:rFonts w:hint="default" w:ascii="Times New Roman" w:hAnsi="Times New Roman" w:cs="Times New Roman"/>
          <w:color w:val="auto"/>
          <w:szCs w:val="21"/>
          <w:highlight w:val="none"/>
        </w:rPr>
        <w:t>投标地点：</w:t>
      </w:r>
      <w:r>
        <w:rPr>
          <w:rFonts w:hint="default" w:ascii="Times New Roman" w:hAnsi="Times New Roman" w:eastAsia="宋体" w:cs="Times New Roman"/>
          <w:b/>
          <w:bCs/>
          <w:color w:val="auto"/>
          <w:szCs w:val="21"/>
          <w:highlight w:val="none"/>
          <w:u w:val="none"/>
          <w:lang w:eastAsia="zh-CN"/>
        </w:rPr>
        <w:t>（</w:t>
      </w:r>
      <w:r>
        <w:rPr>
          <w:rFonts w:hint="default" w:ascii="Times New Roman" w:hAnsi="Times New Roman" w:eastAsia="宋体" w:cs="Times New Roman"/>
          <w:b/>
          <w:bCs/>
          <w:color w:val="auto"/>
          <w:szCs w:val="21"/>
          <w:highlight w:val="none"/>
          <w:u w:val="none"/>
          <w:lang w:val="en-US" w:eastAsia="zh-CN"/>
        </w:rPr>
        <w:t>1</w:t>
      </w:r>
      <w:r>
        <w:rPr>
          <w:rFonts w:hint="default" w:ascii="Times New Roman" w:hAnsi="Times New Roman" w:eastAsia="宋体" w:cs="Times New Roman"/>
          <w:b/>
          <w:bCs/>
          <w:color w:val="auto"/>
          <w:szCs w:val="21"/>
          <w:highlight w:val="none"/>
          <w:u w:val="none"/>
          <w:lang w:eastAsia="zh-CN"/>
        </w:rPr>
        <w:t>）</w:t>
      </w:r>
      <w:r>
        <w:rPr>
          <w:rFonts w:hint="default" w:ascii="Times New Roman" w:hAnsi="Times New Roman" w:eastAsia="宋体" w:cs="Times New Roman"/>
          <w:b/>
          <w:bCs/>
          <w:color w:val="auto"/>
          <w:szCs w:val="21"/>
          <w:highlight w:val="none"/>
          <w:u w:val="none"/>
        </w:rPr>
        <w:t>“电子加密投标文件”：https://www.zcygov.cn在线提交；</w:t>
      </w:r>
      <w:r>
        <w:rPr>
          <w:rFonts w:hint="default" w:ascii="Times New Roman" w:hAnsi="Times New Roman" w:eastAsia="宋体" w:cs="Times New Roman"/>
          <w:b/>
          <w:bCs/>
          <w:color w:val="auto"/>
          <w:szCs w:val="21"/>
          <w:highlight w:val="none"/>
          <w:u w:val="none"/>
          <w:lang w:eastAsia="zh-CN"/>
        </w:rPr>
        <w:t>（</w:t>
      </w:r>
      <w:r>
        <w:rPr>
          <w:rFonts w:hint="default" w:ascii="Times New Roman" w:hAnsi="Times New Roman" w:eastAsia="宋体" w:cs="Times New Roman"/>
          <w:b/>
          <w:bCs/>
          <w:color w:val="auto"/>
          <w:szCs w:val="21"/>
          <w:highlight w:val="none"/>
          <w:u w:val="none"/>
          <w:lang w:val="en-US" w:eastAsia="zh-CN"/>
        </w:rPr>
        <w:t>2</w:t>
      </w:r>
      <w:r>
        <w:rPr>
          <w:rFonts w:hint="default" w:ascii="Times New Roman" w:hAnsi="Times New Roman" w:eastAsia="宋体" w:cs="Times New Roman"/>
          <w:b/>
          <w:bCs/>
          <w:color w:val="auto"/>
          <w:szCs w:val="21"/>
          <w:highlight w:val="none"/>
          <w:u w:val="none"/>
          <w:lang w:eastAsia="zh-CN"/>
        </w:rPr>
        <w:t>）</w:t>
      </w:r>
      <w:r>
        <w:rPr>
          <w:rFonts w:hint="default" w:ascii="Times New Roman" w:hAnsi="Times New Roman" w:eastAsia="宋体" w:cs="Times New Roman"/>
          <w:b/>
          <w:bCs/>
          <w:color w:val="auto"/>
          <w:szCs w:val="21"/>
          <w:highlight w:val="none"/>
          <w:u w:val="none"/>
        </w:rPr>
        <w:t>“电子备份投标文件”：宁波市镇海区公共资源交易中心开标厅</w:t>
      </w:r>
      <w:r>
        <w:rPr>
          <w:rFonts w:hint="eastAsia" w:cs="Times New Roman"/>
          <w:b/>
          <w:bCs/>
          <w:color w:val="auto"/>
          <w:szCs w:val="21"/>
          <w:highlight w:val="none"/>
          <w:u w:val="none"/>
          <w:lang w:val="en-US" w:eastAsia="zh-CN"/>
        </w:rPr>
        <w:t>三</w:t>
      </w:r>
      <w:r>
        <w:rPr>
          <w:rFonts w:hint="default" w:ascii="Times New Roman" w:hAnsi="Times New Roman" w:eastAsia="宋体" w:cs="Times New Roman"/>
          <w:b/>
          <w:bCs/>
          <w:color w:val="auto"/>
          <w:szCs w:val="21"/>
          <w:highlight w:val="none"/>
          <w:u w:val="none"/>
        </w:rPr>
        <w:t>（镇海区骆驼街道金华南路55号）</w:t>
      </w:r>
      <w:r>
        <w:rPr>
          <w:rFonts w:hint="default" w:ascii="Times New Roman" w:hAnsi="Times New Roman" w:eastAsia="宋体" w:cs="Times New Roman"/>
          <w:b/>
          <w:bCs/>
          <w:color w:val="auto"/>
          <w:szCs w:val="21"/>
          <w:highlight w:val="none"/>
          <w:u w:val="none"/>
          <w:lang w:eastAsia="zh-CN"/>
        </w:rPr>
        <w:t>。</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开标时间：</w:t>
      </w:r>
      <w:r>
        <w:rPr>
          <w:rFonts w:hint="eastAsia" w:cs="Times New Roman"/>
          <w:color w:val="auto"/>
          <w:szCs w:val="21"/>
          <w:highlight w:val="none"/>
          <w:u w:val="single"/>
          <w:shd w:val="clear" w:color="auto" w:fill="FFFFFF"/>
          <w:lang w:eastAsia="zh-CN"/>
        </w:rPr>
        <w:t>2024</w:t>
      </w:r>
      <w:r>
        <w:rPr>
          <w:rFonts w:hint="default" w:ascii="Times New Roman" w:hAnsi="Times New Roman" w:cs="Times New Roman"/>
          <w:color w:val="auto"/>
          <w:szCs w:val="21"/>
          <w:highlight w:val="none"/>
          <w:u w:val="single"/>
          <w:shd w:val="clear" w:color="auto" w:fill="FFFFFF"/>
        </w:rPr>
        <w:t>年</w:t>
      </w:r>
      <w:r>
        <w:rPr>
          <w:rFonts w:hint="eastAsia" w:cs="Times New Roman"/>
          <w:color w:val="auto"/>
          <w:szCs w:val="21"/>
          <w:highlight w:val="none"/>
          <w:u w:val="single"/>
          <w:lang w:val="en-US" w:eastAsia="zh-CN"/>
        </w:rPr>
        <w:t>2</w:t>
      </w:r>
      <w:r>
        <w:rPr>
          <w:rFonts w:hint="default" w:ascii="Times New Roman" w:hAnsi="Times New Roman" w:cs="Times New Roman"/>
          <w:color w:val="auto"/>
          <w:szCs w:val="21"/>
          <w:highlight w:val="none"/>
          <w:u w:val="single"/>
          <w:shd w:val="clear" w:color="auto" w:fill="FFFFFF"/>
        </w:rPr>
        <w:t>月</w:t>
      </w:r>
      <w:r>
        <w:rPr>
          <w:rFonts w:hint="eastAsia" w:cs="Times New Roman"/>
          <w:color w:val="auto"/>
          <w:szCs w:val="21"/>
          <w:highlight w:val="none"/>
          <w:u w:val="single"/>
          <w:lang w:val="en-US" w:eastAsia="zh-CN"/>
        </w:rPr>
        <w:t>21</w:t>
      </w:r>
      <w:r>
        <w:rPr>
          <w:rFonts w:hint="default" w:ascii="Times New Roman" w:hAnsi="Times New Roman" w:cs="Times New Roman"/>
          <w:color w:val="auto"/>
          <w:szCs w:val="21"/>
          <w:highlight w:val="none"/>
          <w:u w:val="single"/>
          <w:shd w:val="clear" w:color="auto" w:fill="FFFFFF"/>
        </w:rPr>
        <w:t>日14：00</w:t>
      </w:r>
      <w:r>
        <w:rPr>
          <w:rFonts w:hint="default" w:ascii="Times New Roman" w:hAnsi="Times New Roman" w:cs="Times New Roman"/>
          <w:color w:val="auto"/>
          <w:szCs w:val="21"/>
          <w:highlight w:val="none"/>
          <w:shd w:val="clear" w:color="auto" w:fill="FFFFFF"/>
        </w:rPr>
        <w:t>（北京时间）</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开标地点：</w:t>
      </w:r>
      <w:r>
        <w:rPr>
          <w:rFonts w:hint="default" w:ascii="Times New Roman" w:hAnsi="Times New Roman" w:cs="Times New Roman"/>
          <w:b/>
          <w:bCs/>
          <w:color w:val="auto"/>
          <w:szCs w:val="21"/>
          <w:highlight w:val="none"/>
        </w:rPr>
        <w:t>政采云平台（www.zcygov.cn）。</w:t>
      </w:r>
      <w:r>
        <w:rPr>
          <w:rFonts w:hint="default" w:ascii="Times New Roman" w:hAnsi="Times New Roman" w:cs="Times New Roman"/>
          <w:color w:val="auto"/>
          <w:szCs w:val="21"/>
          <w:highlight w:val="none"/>
        </w:rPr>
        <w:t> </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五、公告期限</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自本公告发布之日起5个工作日。</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六、其他补充事宜</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2、其他事项：</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2.1本次政府采购活动有关信息在浙江政府采购网公布，视同送达所有潜在投标人。</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2.2本项目实行网上投标，采用电子投标文件。若供应商参与投标，自行承担投标一切费用。</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2.3标前准备：各供应商应在开标前应确保成为浙江省政府采购网正式注册入库供应商，并完成CA数字证书办理（供应商CA申领操作指南</w:t>
      </w:r>
      <w:r>
        <w:rPr>
          <w:rFonts w:hint="default" w:ascii="Times New Roman" w:hAnsi="Times New Roman" w:cs="Times New Roman"/>
          <w:color w:val="auto"/>
          <w:szCs w:val="21"/>
          <w:highlight w:val="none"/>
          <w:lang w:val="en-US" w:eastAsia="zh-CN"/>
        </w:rPr>
        <w:t>详见政采云平台（www.zcygov.cn）</w:t>
      </w:r>
      <w:r>
        <w:rPr>
          <w:rFonts w:hint="default" w:ascii="Times New Roman" w:hAnsi="Times New Roman" w:cs="Times New Roman"/>
          <w:color w:val="auto"/>
          <w:szCs w:val="21"/>
          <w:highlight w:val="none"/>
        </w:rPr>
        <w:t>，完成CA数字证书办理预计二周左右，请供应商自行把握时间）。因未注册入库、未办理CA数字证书等原因造成无法获取采购文件、无法投标或投标失败等后果由供应商自行承担。</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2.4投标文件制作：</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2.4.1应按照本项目招标文件和政采云平台的要求编制、加密并递交投标文件。供应商在使用系统进行投标的过程中遇到涉及平台使用的任何问题，可致电政采云平台技术支持热线咨询，联系方式：</w:t>
      </w:r>
      <w:r>
        <w:rPr>
          <w:rFonts w:hint="default" w:ascii="Times New Roman" w:hAnsi="Times New Roman" w:cs="Times New Roman"/>
          <w:color w:val="auto"/>
          <w:szCs w:val="21"/>
          <w:highlight w:val="none"/>
          <w:lang w:val="en-US" w:eastAsia="zh-CN"/>
        </w:rPr>
        <w:t>95763</w:t>
      </w:r>
      <w:r>
        <w:rPr>
          <w:rFonts w:hint="default" w:ascii="Times New Roman" w:hAnsi="Times New Roman" w:cs="Times New Roman"/>
          <w:color w:val="auto"/>
          <w:szCs w:val="21"/>
          <w:highlight w:val="none"/>
        </w:rPr>
        <w:t>。</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2.4.2供应商通过“政采云”平台电子投标工具制作投标文件，电子投标工具请供应商自行前往浙江省政府采购网下载并安装。</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2.4.3以U盘存储的数据电文形式的备份投标文件1份，按政采云平台项目采购-电子招投标操作指南中上传的电子投标文件格式，以用于异常情况处理。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2.4.4电子备份投标文件（不作强制要求，投标人自行决定是否提供）的递交：</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2.4.4.1采用邮寄方式递交电子备份投标文件的，需按以下要求递交：供应商须在本项目开标时间前一日16:00前将电子备份投标文件邮寄至规定地点，由招标代理工作人员进行签收。各供应商自行考虑邮寄在途时间，邮寄过程中无论何种因素导致电子备份投标文件未按时递交的后果，均由供应商自行负责。电子备份投标文件递交时间以招标代理实际收到投标文件的时间为准。迟到的电子备份投标文件将被拒收。请各供应商确保密封包装在邮寄过程密封包装完好，并在邮寄包裹上注明项目名称，因邮寄过程的密封破损造成不符合开标要求的，本招标代理及</w:t>
      </w: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 xml:space="preserve">概不负责。投标文件邮寄地址为：宁波市江南路598号九五国际A座9楼934。 </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收件人：</w:t>
      </w:r>
      <w:r>
        <w:rPr>
          <w:rFonts w:hint="eastAsia" w:cs="Times New Roman"/>
          <w:color w:val="auto"/>
          <w:szCs w:val="21"/>
          <w:highlight w:val="none"/>
          <w:lang w:val="en-US" w:eastAsia="zh-CN"/>
        </w:rPr>
        <w:t>杜振华</w:t>
      </w:r>
      <w:r>
        <w:rPr>
          <w:rFonts w:hint="default" w:ascii="Times New Roman" w:hAnsi="Times New Roman" w:cs="Times New Roman"/>
          <w:color w:val="auto"/>
          <w:szCs w:val="21"/>
          <w:highlight w:val="none"/>
        </w:rPr>
        <w:t xml:space="preserve"> 联系方式：0574-89076310</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2.5采购项目需要落实的政府采购政策</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《关于促进残疾人就业政府采购政策的通知》（财库【2017】141号）</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《政府采购促进中小企业发展管理办法》（财库【2020】46号）、《财政部司法部关于政府采购支持监狱企业发展有关问题的通知》（财库【2014】68号）等。</w:t>
      </w:r>
    </w:p>
    <w:p>
      <w:pPr>
        <w:spacing w:line="360" w:lineRule="auto"/>
        <w:ind w:firstLine="420" w:firstLineChars="200"/>
        <w:rPr>
          <w:rFonts w:hint="default" w:ascii="Times New Roman" w:hAnsi="Times New Roman" w:cs="Times New Roman"/>
          <w:b/>
          <w:bCs/>
          <w:color w:val="auto"/>
          <w:szCs w:val="21"/>
          <w:highlight w:val="none"/>
        </w:rPr>
      </w:pPr>
      <w:r>
        <w:rPr>
          <w:rFonts w:hint="default" w:ascii="Times New Roman" w:hAnsi="Times New Roman" w:eastAsia="宋体" w:cs="Times New Roman"/>
          <w:color w:val="auto"/>
          <w:szCs w:val="21"/>
          <w:highlight w:val="none"/>
          <w:lang w:val="en-US" w:eastAsia="zh-CN"/>
        </w:rPr>
        <w:t>2.6</w:t>
      </w:r>
      <w:r>
        <w:rPr>
          <w:rFonts w:hint="default" w:ascii="Times New Roman" w:hAnsi="Times New Roman" w:eastAsia="宋体" w:cs="Times New Roman"/>
          <w:color w:val="auto"/>
          <w:szCs w:val="21"/>
          <w:highlight w:val="none"/>
        </w:rPr>
        <w:t>本公告中二、申请人的资格要求：第1条中的“重大税收违法案件当事人名单”即为“重大税收违法失信主体”。</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七、对本次招标提出询问，请按以下方式联系</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1.采购人信息</w:t>
      </w:r>
    </w:p>
    <w:p>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名称：</w:t>
      </w:r>
      <w:r>
        <w:rPr>
          <w:rFonts w:hint="eastAsia" w:cs="Times New Roman"/>
          <w:color w:val="auto"/>
          <w:szCs w:val="21"/>
          <w:highlight w:val="none"/>
          <w:lang w:eastAsia="zh-CN"/>
        </w:rPr>
        <w:t>中国共产党宁波市镇海区委员会宣传部</w:t>
      </w:r>
      <w:r>
        <w:rPr>
          <w:rFonts w:hint="default" w:ascii="Times New Roman" w:hAnsi="Times New Roman" w:cs="Times New Roman"/>
          <w:color w:val="auto"/>
          <w:szCs w:val="21"/>
          <w:highlight w:val="none"/>
          <w:lang w:eastAsia="zh-CN"/>
        </w:rPr>
        <w:t> </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地址：</w:t>
      </w:r>
      <w:r>
        <w:rPr>
          <w:rFonts w:hint="default" w:ascii="Times New Roman" w:hAnsi="Times New Roman" w:eastAsia="宋体" w:cs="Times New Roman"/>
          <w:color w:val="auto"/>
          <w:szCs w:val="21"/>
          <w:highlight w:val="none"/>
        </w:rPr>
        <w:t>宁波市镇海区骆驼街道民和路569号</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传真：/</w:t>
      </w:r>
    </w:p>
    <w:p>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项目联系人（询问）：</w:t>
      </w:r>
      <w:r>
        <w:rPr>
          <w:rFonts w:hint="default" w:ascii="Times New Roman" w:hAnsi="Times New Roman" w:cs="Times New Roman"/>
          <w:color w:val="auto"/>
          <w:szCs w:val="21"/>
          <w:highlight w:val="none"/>
          <w:lang w:val="en-US" w:eastAsia="zh-CN"/>
        </w:rPr>
        <w:t>王老师</w:t>
      </w:r>
    </w:p>
    <w:p>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项目联系方式（询问）</w:t>
      </w:r>
      <w:r>
        <w:rPr>
          <w:rFonts w:hint="default" w:ascii="Times New Roman" w:hAnsi="Times New Roman"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0574-89287738</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质疑联系人：范老师</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质疑联系方式：0574-89389370</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2.采购代理机构信息</w:t>
      </w:r>
    </w:p>
    <w:p>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名称：</w:t>
      </w:r>
      <w:r>
        <w:rPr>
          <w:rFonts w:hint="default" w:ascii="Times New Roman" w:hAnsi="Times New Roman" w:cs="Times New Roman"/>
          <w:color w:val="auto"/>
          <w:szCs w:val="21"/>
          <w:highlight w:val="none"/>
          <w:lang w:eastAsia="zh-CN"/>
        </w:rPr>
        <w:t>科信联合工程咨询有限公司</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地址：宁波市江南路598号九五国际A座9楼934</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传真：/</w:t>
      </w:r>
    </w:p>
    <w:p>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项目联系人（询问）：</w:t>
      </w:r>
      <w:r>
        <w:rPr>
          <w:rFonts w:hint="default" w:ascii="Times New Roman" w:hAnsi="Times New Roman" w:eastAsia="宋体" w:cs="Times New Roman"/>
          <w:color w:val="auto"/>
          <w:sz w:val="21"/>
          <w:szCs w:val="21"/>
          <w:highlight w:val="none"/>
          <w:lang w:eastAsia="zh-CN"/>
        </w:rPr>
        <w:t>杜振华、</w:t>
      </w:r>
      <w:r>
        <w:rPr>
          <w:rFonts w:hint="eastAsia" w:cs="Times New Roman"/>
          <w:color w:val="auto"/>
          <w:sz w:val="21"/>
          <w:szCs w:val="21"/>
          <w:highlight w:val="none"/>
          <w:lang w:val="en-US" w:eastAsia="zh-CN"/>
        </w:rPr>
        <w:t>王腾、</w:t>
      </w:r>
      <w:r>
        <w:rPr>
          <w:rFonts w:hint="default" w:ascii="Times New Roman" w:hAnsi="Times New Roman" w:eastAsia="宋体" w:cs="Times New Roman"/>
          <w:color w:val="auto"/>
          <w:sz w:val="21"/>
          <w:szCs w:val="21"/>
          <w:highlight w:val="none"/>
          <w:lang w:val="en-US" w:eastAsia="zh-CN"/>
        </w:rPr>
        <w:t>李云芝</w:t>
      </w:r>
      <w:r>
        <w:rPr>
          <w:rFonts w:hint="default" w:ascii="Times New Roman" w:hAnsi="Times New Roman" w:eastAsia="宋体" w:cs="Times New Roman"/>
          <w:color w:val="auto"/>
          <w:sz w:val="21"/>
          <w:szCs w:val="21"/>
          <w:highlight w:val="none"/>
          <w:lang w:eastAsia="zh-CN"/>
        </w:rPr>
        <w:t>、周丙海、</w:t>
      </w:r>
      <w:r>
        <w:rPr>
          <w:rFonts w:hint="default" w:ascii="Times New Roman" w:hAnsi="Times New Roman" w:eastAsia="宋体" w:cs="Times New Roman"/>
          <w:color w:val="auto"/>
          <w:sz w:val="21"/>
          <w:szCs w:val="21"/>
          <w:highlight w:val="none"/>
          <w:lang w:val="en-US" w:eastAsia="zh-CN"/>
        </w:rPr>
        <w:t>房科红</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项目联系方式（询问）：0574-89076310</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质疑联系人：</w:t>
      </w:r>
      <w:r>
        <w:rPr>
          <w:rFonts w:hint="default" w:ascii="Times New Roman" w:hAnsi="Times New Roman" w:cs="Times New Roman"/>
          <w:bCs/>
          <w:color w:val="auto"/>
          <w:szCs w:val="20"/>
          <w:highlight w:val="none"/>
        </w:rPr>
        <w:t>郑涵</w:t>
      </w:r>
    </w:p>
    <w:p>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质疑联系方式：</w:t>
      </w:r>
      <w:r>
        <w:rPr>
          <w:rFonts w:hint="default" w:ascii="Times New Roman" w:hAnsi="Times New Roman" w:eastAsia="宋体" w:cs="Times New Roman"/>
          <w:color w:val="auto"/>
          <w:kern w:val="0"/>
          <w:sz w:val="21"/>
          <w:szCs w:val="21"/>
          <w:highlight w:val="none"/>
          <w:lang w:val="en-US" w:eastAsia="zh-CN"/>
        </w:rPr>
        <w:t>0574-87360849</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3.同级政府采购监督管理部门</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名称：</w:t>
      </w:r>
      <w:r>
        <w:rPr>
          <w:rFonts w:hint="default" w:ascii="Times New Roman" w:hAnsi="Times New Roman" w:eastAsia="宋体" w:cs="Times New Roman"/>
          <w:color w:val="auto"/>
          <w:szCs w:val="21"/>
          <w:highlight w:val="none"/>
          <w:lang w:val="en-US" w:eastAsia="zh-CN"/>
        </w:rPr>
        <w:t>宁波市镇海区政府采购管理办公室</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地址：</w:t>
      </w:r>
      <w:r>
        <w:rPr>
          <w:rFonts w:hint="default" w:ascii="Times New Roman" w:hAnsi="Times New Roman" w:eastAsia="宋体" w:cs="Times New Roman"/>
          <w:color w:val="auto"/>
          <w:szCs w:val="21"/>
          <w:highlight w:val="none"/>
          <w:lang w:val="en-US" w:eastAsia="zh-CN"/>
        </w:rPr>
        <w:t>宁波市镇海区骆驼街道民和路569号</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传真：/</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r>
        <w:rPr>
          <w:rFonts w:hint="default" w:ascii="Times New Roman" w:hAnsi="Times New Roman" w:eastAsia="宋体" w:cs="Times New Roman"/>
          <w:color w:val="auto"/>
          <w:szCs w:val="21"/>
          <w:highlight w:val="none"/>
          <w:lang w:val="en-US" w:eastAsia="zh-CN"/>
        </w:rPr>
        <w:t>金</w:t>
      </w:r>
      <w:r>
        <w:rPr>
          <w:rFonts w:hint="eastAsia" w:ascii="Times New Roman" w:hAnsi="Times New Roman" w:eastAsia="宋体" w:cs="Times New Roman"/>
          <w:color w:val="auto"/>
          <w:szCs w:val="21"/>
          <w:highlight w:val="none"/>
          <w:lang w:val="en-US" w:eastAsia="zh-CN"/>
        </w:rPr>
        <w:t>老师</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监督投诉电话：</w:t>
      </w:r>
      <w:r>
        <w:rPr>
          <w:rFonts w:hint="default" w:ascii="Times New Roman" w:hAnsi="Times New Roman" w:eastAsia="宋体" w:cs="Times New Roman"/>
          <w:color w:val="auto"/>
          <w:szCs w:val="21"/>
          <w:highlight w:val="none"/>
          <w:lang w:val="en-US" w:eastAsia="zh-CN"/>
        </w:rPr>
        <w:t>0574-89389666</w:t>
      </w:r>
    </w:p>
    <w:p>
      <w:pPr>
        <w:pStyle w:val="16"/>
        <w:spacing w:after="0"/>
        <w:ind w:firstLine="422" w:firstLineChars="200"/>
        <w:rPr>
          <w:rFonts w:hint="default" w:ascii="Times New Roman" w:hAnsi="Times New Roman" w:cs="Times New Roman"/>
          <w:b/>
          <w:bCs/>
          <w:color w:val="auto"/>
          <w:sz w:val="21"/>
          <w:szCs w:val="21"/>
          <w:highlight w:val="none"/>
        </w:rPr>
      </w:pPr>
    </w:p>
    <w:p>
      <w:pPr>
        <w:spacing w:line="360" w:lineRule="auto"/>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若对项目采购电子交易系统操作有疑问，可登录政采云（https://www.zcygov.cn/），点击右侧咨询小采，获取采小蜜智能服务管家帮助，或拨打政采云服务热线</w:t>
      </w:r>
      <w:r>
        <w:rPr>
          <w:rFonts w:hint="default" w:ascii="Times New Roman" w:hAnsi="Times New Roman" w:eastAsia="宋体" w:cs="Times New Roman"/>
          <w:b/>
          <w:bCs/>
          <w:color w:val="auto"/>
          <w:sz w:val="21"/>
          <w:szCs w:val="21"/>
          <w:highlight w:val="none"/>
          <w:lang w:val="en-US" w:eastAsia="zh-CN"/>
        </w:rPr>
        <w:t>95763</w:t>
      </w:r>
      <w:r>
        <w:rPr>
          <w:rFonts w:hint="default" w:ascii="Times New Roman" w:hAnsi="Times New Roman" w:cs="Times New Roman"/>
          <w:b/>
          <w:bCs/>
          <w:color w:val="auto"/>
          <w:szCs w:val="21"/>
          <w:highlight w:val="none"/>
        </w:rPr>
        <w:t xml:space="preserve">获取热线服务帮助。       </w:t>
      </w:r>
    </w:p>
    <w:p>
      <w:pPr>
        <w:spacing w:line="360" w:lineRule="auto"/>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CA问题联系电话（人工）：汇信CA 400-888-4636；天谷CA 400-087-8198。</w:t>
      </w:r>
    </w:p>
    <w:p>
      <w:pPr>
        <w:pStyle w:val="22"/>
        <w:snapToGrid w:val="0"/>
        <w:spacing w:before="120" w:beforeLines="0" w:after="120" w:afterLines="0" w:line="360" w:lineRule="auto"/>
        <w:jc w:val="center"/>
        <w:outlineLvl w:val="0"/>
        <w:rPr>
          <w:rFonts w:hint="default" w:ascii="Times New Roman" w:hAnsi="Times New Roman" w:cs="Times New Roman"/>
          <w:b/>
          <w:color w:val="auto"/>
          <w:highlight w:val="none"/>
        </w:rPr>
        <w:sectPr>
          <w:footerReference r:id="rId4" w:type="default"/>
          <w:pgSz w:w="11906" w:h="16838"/>
          <w:pgMar w:top="1440" w:right="1803" w:bottom="1440" w:left="1803" w:header="851" w:footer="850" w:gutter="0"/>
          <w:pgNumType w:fmt="decimal" w:start="1"/>
          <w:cols w:space="720" w:num="1"/>
          <w:docGrid w:linePitch="312" w:charSpace="0"/>
        </w:sectPr>
      </w:pPr>
      <w:bookmarkStart w:id="9" w:name="_Toc509831390"/>
      <w:bookmarkStart w:id="10" w:name="_Toc14051"/>
      <w:bookmarkStart w:id="11" w:name="_Toc1766"/>
      <w:bookmarkStart w:id="12" w:name="_Toc460857891"/>
      <w:bookmarkStart w:id="13" w:name="_Toc460416585"/>
    </w:p>
    <w:p>
      <w:pPr>
        <w:pStyle w:val="22"/>
        <w:snapToGrid w:val="0"/>
        <w:spacing w:before="120" w:beforeLines="0" w:after="120" w:afterLines="0" w:line="360" w:lineRule="auto"/>
        <w:jc w:val="center"/>
        <w:outlineLvl w:val="0"/>
        <w:rPr>
          <w:rFonts w:hint="default" w:ascii="Times New Roman" w:hAnsi="Times New Roman" w:cs="Times New Roman"/>
          <w:b/>
          <w:color w:val="auto"/>
          <w:highlight w:val="none"/>
        </w:rPr>
      </w:pPr>
      <w:bookmarkStart w:id="14" w:name="_Toc12261"/>
      <w:bookmarkStart w:id="15" w:name="_Toc22133"/>
      <w:bookmarkStart w:id="16" w:name="_Toc5715"/>
      <w:bookmarkStart w:id="17" w:name="_Toc15530"/>
      <w:bookmarkStart w:id="18" w:name="_Toc15241"/>
      <w:r>
        <w:rPr>
          <w:rFonts w:hint="default" w:ascii="Times New Roman" w:hAnsi="Times New Roman" w:cs="Times New Roman"/>
          <w:b/>
          <w:color w:val="auto"/>
          <w:highlight w:val="none"/>
        </w:rPr>
        <w:t>第二章 招标需求</w:t>
      </w:r>
      <w:bookmarkEnd w:id="9"/>
      <w:bookmarkEnd w:id="10"/>
      <w:bookmarkEnd w:id="11"/>
      <w:bookmarkEnd w:id="12"/>
      <w:bookmarkEnd w:id="13"/>
      <w:bookmarkEnd w:id="14"/>
      <w:bookmarkEnd w:id="15"/>
      <w:bookmarkEnd w:id="16"/>
      <w:bookmarkEnd w:id="17"/>
      <w:bookmarkEnd w:id="18"/>
    </w:p>
    <w:p>
      <w:pPr>
        <w:spacing w:line="360" w:lineRule="auto"/>
        <w:jc w:val="center"/>
        <w:rPr>
          <w:rFonts w:hint="default" w:ascii="Times New Roman" w:hAnsi="Times New Roman" w:cs="Times New Roman"/>
          <w:b/>
          <w:bCs/>
          <w:color w:val="auto"/>
          <w:szCs w:val="21"/>
          <w:highlight w:val="none"/>
        </w:rPr>
      </w:pPr>
      <w:bookmarkStart w:id="19" w:name="_Toc509831391"/>
      <w:bookmarkStart w:id="20" w:name="_Toc460416635"/>
      <w:bookmarkStart w:id="21" w:name="_Toc317685546"/>
      <w:bookmarkStart w:id="22" w:name="_Toc460857892"/>
      <w:bookmarkStart w:id="23" w:name="_Toc304292160"/>
      <w:bookmarkStart w:id="24" w:name="_Toc460416586"/>
      <w:bookmarkStart w:id="25" w:name="_Toc460416331"/>
      <w:r>
        <w:rPr>
          <w:rFonts w:hint="default" w:ascii="Times New Roman" w:hAnsi="Times New Roman" w:cs="Times New Roman"/>
          <w:b/>
          <w:bCs/>
          <w:color w:val="auto"/>
          <w:szCs w:val="21"/>
          <w:highlight w:val="none"/>
        </w:rPr>
        <w:t>前附表</w:t>
      </w:r>
      <w:bookmarkEnd w:id="19"/>
    </w:p>
    <w:bookmarkEnd w:id="20"/>
    <w:bookmarkEnd w:id="21"/>
    <w:bookmarkEnd w:id="22"/>
    <w:bookmarkEnd w:id="23"/>
    <w:bookmarkEnd w:id="24"/>
    <w:bookmarkEnd w:id="25"/>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400" w:lineRule="exact"/>
              <w:jc w:val="center"/>
              <w:outlineLvl w:val="1"/>
              <w:rPr>
                <w:rFonts w:hint="default" w:ascii="Times New Roman" w:hAnsi="Times New Roman" w:cs="Times New Roman"/>
                <w:b/>
                <w:color w:val="auto"/>
                <w:szCs w:val="28"/>
                <w:highlight w:val="none"/>
              </w:rPr>
            </w:pPr>
            <w:bookmarkStart w:id="26" w:name="_Toc460416338"/>
            <w:bookmarkStart w:id="27" w:name="_Toc460416593"/>
            <w:bookmarkStart w:id="28" w:name="_Toc460416642"/>
            <w:r>
              <w:rPr>
                <w:rFonts w:hint="default" w:ascii="Times New Roman" w:hAnsi="Times New Roman" w:cs="Times New Roman"/>
                <w:b/>
                <w:color w:val="auto"/>
                <w:szCs w:val="28"/>
                <w:highlight w:val="none"/>
              </w:rPr>
              <w:t>序号</w:t>
            </w:r>
          </w:p>
        </w:tc>
        <w:tc>
          <w:tcPr>
            <w:tcW w:w="3840" w:type="dxa"/>
            <w:noWrap w:val="0"/>
            <w:vAlign w:val="center"/>
          </w:tcPr>
          <w:p>
            <w:pPr>
              <w:spacing w:line="400" w:lineRule="exact"/>
              <w:jc w:val="center"/>
              <w:outlineLvl w:val="1"/>
              <w:rPr>
                <w:rFonts w:hint="default" w:ascii="Times New Roman" w:hAnsi="Times New Roman" w:cs="Times New Roman"/>
                <w:b/>
                <w:color w:val="auto"/>
                <w:szCs w:val="28"/>
                <w:highlight w:val="none"/>
              </w:rPr>
            </w:pPr>
            <w:r>
              <w:rPr>
                <w:rFonts w:hint="default" w:ascii="Times New Roman" w:hAnsi="Times New Roman" w:cs="Times New Roman"/>
                <w:b/>
                <w:color w:val="auto"/>
                <w:szCs w:val="28"/>
                <w:highlight w:val="none"/>
              </w:rPr>
              <w:t>子项</w:t>
            </w:r>
          </w:p>
        </w:tc>
        <w:tc>
          <w:tcPr>
            <w:tcW w:w="4425" w:type="dxa"/>
            <w:noWrap w:val="0"/>
            <w:vAlign w:val="center"/>
          </w:tcPr>
          <w:p>
            <w:pPr>
              <w:spacing w:line="400" w:lineRule="exact"/>
              <w:jc w:val="center"/>
              <w:outlineLvl w:val="1"/>
              <w:rPr>
                <w:rFonts w:hint="default" w:ascii="Times New Roman" w:hAnsi="Times New Roman" w:cs="Times New Roman"/>
                <w:b/>
                <w:color w:val="auto"/>
                <w:szCs w:val="28"/>
                <w:highlight w:val="none"/>
              </w:rPr>
            </w:pPr>
            <w:r>
              <w:rPr>
                <w:rFonts w:hint="default" w:ascii="Times New Roman" w:hAnsi="Times New Roman" w:cs="Times New Roman"/>
                <w:b/>
                <w:color w:val="auto"/>
                <w:szCs w:val="28"/>
                <w:highlight w:val="none"/>
              </w:rPr>
              <w:t>招标需求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restart"/>
            <w:noWrap w:val="0"/>
            <w:vAlign w:val="center"/>
          </w:tcPr>
          <w:p>
            <w:pPr>
              <w:spacing w:line="400" w:lineRule="exact"/>
              <w:jc w:val="center"/>
              <w:outlineLvl w:val="1"/>
              <w:rPr>
                <w:rFonts w:hint="default" w:ascii="Times New Roman" w:hAnsi="Times New Roman" w:cs="Times New Roman"/>
                <w:b/>
                <w:color w:val="auto"/>
                <w:szCs w:val="28"/>
                <w:highlight w:val="none"/>
              </w:rPr>
            </w:pPr>
            <w:r>
              <w:rPr>
                <w:rFonts w:hint="default" w:ascii="Times New Roman" w:hAnsi="Times New Roman" w:cs="Times New Roman"/>
                <w:b/>
                <w:color w:val="auto"/>
                <w:szCs w:val="28"/>
                <w:highlight w:val="none"/>
              </w:rPr>
              <w:t>一</w:t>
            </w:r>
          </w:p>
        </w:tc>
        <w:tc>
          <w:tcPr>
            <w:tcW w:w="3840" w:type="dxa"/>
            <w:noWrap w:val="0"/>
            <w:vAlign w:val="center"/>
          </w:tcPr>
          <w:p>
            <w:pPr>
              <w:spacing w:line="400" w:lineRule="exact"/>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采购标的需实现的功能或者目标</w:t>
            </w:r>
          </w:p>
        </w:tc>
        <w:tc>
          <w:tcPr>
            <w:tcW w:w="4425" w:type="dxa"/>
            <w:noWrap w:val="0"/>
            <w:vAlign w:val="center"/>
          </w:tcPr>
          <w:p>
            <w:pPr>
              <w:spacing w:line="400" w:lineRule="exact"/>
              <w:outlineLvl w:val="1"/>
              <w:rPr>
                <w:rFonts w:hint="default" w:ascii="Times New Roman" w:hAnsi="Times New Roman" w:cs="Times New Roman"/>
                <w:b/>
                <w:color w:val="auto"/>
                <w:szCs w:val="28"/>
                <w:highlight w:val="none"/>
              </w:rPr>
            </w:pPr>
            <w:r>
              <w:rPr>
                <w:rFonts w:hint="default" w:ascii="Times New Roman" w:hAnsi="Times New Roman" w:cs="Times New Roman"/>
                <w:bCs/>
                <w:color w:val="auto"/>
                <w:szCs w:val="28"/>
                <w:highlight w:val="none"/>
              </w:rPr>
              <w:t>详见后款第二条。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noWrap w:val="0"/>
            <w:vAlign w:val="center"/>
          </w:tcPr>
          <w:p>
            <w:pPr>
              <w:spacing w:line="400" w:lineRule="exact"/>
              <w:jc w:val="center"/>
              <w:outlineLvl w:val="1"/>
              <w:rPr>
                <w:rFonts w:hint="default" w:ascii="Times New Roman" w:hAnsi="Times New Roman" w:cs="Times New Roman"/>
                <w:b/>
                <w:color w:val="auto"/>
                <w:szCs w:val="28"/>
                <w:highlight w:val="none"/>
              </w:rPr>
            </w:pPr>
          </w:p>
        </w:tc>
        <w:tc>
          <w:tcPr>
            <w:tcW w:w="3840" w:type="dxa"/>
            <w:noWrap w:val="0"/>
            <w:vAlign w:val="center"/>
          </w:tcPr>
          <w:p>
            <w:pPr>
              <w:spacing w:line="400" w:lineRule="exact"/>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为落实政府采购需满足的要求</w:t>
            </w:r>
          </w:p>
        </w:tc>
        <w:tc>
          <w:tcPr>
            <w:tcW w:w="4425" w:type="dxa"/>
            <w:noWrap w:val="0"/>
            <w:vAlign w:val="center"/>
          </w:tcPr>
          <w:p>
            <w:pPr>
              <w:spacing w:line="400" w:lineRule="exact"/>
              <w:outlineLvl w:val="1"/>
              <w:rPr>
                <w:rFonts w:hint="default" w:ascii="Times New Roman" w:hAnsi="Times New Roman" w:cs="Times New Roman"/>
                <w:b/>
                <w:color w:val="auto"/>
                <w:szCs w:val="28"/>
                <w:highlight w:val="none"/>
              </w:rPr>
            </w:pPr>
            <w:r>
              <w:rPr>
                <w:rFonts w:hint="default" w:ascii="Times New Roman" w:hAnsi="Times New Roman" w:cs="Times New Roman"/>
                <w:bCs/>
                <w:color w:val="auto"/>
                <w:szCs w:val="28"/>
                <w:highlight w:val="none"/>
              </w:rPr>
              <w:t>详见后款第二条。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400" w:lineRule="exact"/>
              <w:jc w:val="center"/>
              <w:outlineLvl w:val="1"/>
              <w:rPr>
                <w:rFonts w:hint="default" w:ascii="Times New Roman" w:hAnsi="Times New Roman" w:cs="Times New Roman"/>
                <w:b/>
                <w:color w:val="auto"/>
                <w:szCs w:val="28"/>
                <w:highlight w:val="none"/>
              </w:rPr>
            </w:pPr>
            <w:r>
              <w:rPr>
                <w:rFonts w:hint="default" w:ascii="Times New Roman" w:hAnsi="Times New Roman" w:cs="Times New Roman"/>
                <w:b/>
                <w:color w:val="auto"/>
                <w:szCs w:val="28"/>
                <w:highlight w:val="none"/>
              </w:rPr>
              <w:t>二</w:t>
            </w:r>
          </w:p>
        </w:tc>
        <w:tc>
          <w:tcPr>
            <w:tcW w:w="3840" w:type="dxa"/>
            <w:noWrap w:val="0"/>
            <w:vAlign w:val="center"/>
          </w:tcPr>
          <w:p>
            <w:pPr>
              <w:spacing w:line="400" w:lineRule="exact"/>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采购标的需执行的国家相关标准、行业标准、地方标准或者其他标准规范</w:t>
            </w:r>
          </w:p>
        </w:tc>
        <w:tc>
          <w:tcPr>
            <w:tcW w:w="4425" w:type="dxa"/>
            <w:noWrap w:val="0"/>
            <w:vAlign w:val="center"/>
          </w:tcPr>
          <w:p>
            <w:pPr>
              <w:spacing w:line="400" w:lineRule="exact"/>
              <w:outlineLvl w:val="1"/>
              <w:rPr>
                <w:rFonts w:hint="default" w:ascii="Times New Roman" w:hAnsi="Times New Roman" w:cs="Times New Roman"/>
                <w:b/>
                <w:color w:val="auto"/>
                <w:szCs w:val="28"/>
                <w:highlight w:val="none"/>
              </w:rPr>
            </w:pPr>
            <w:r>
              <w:rPr>
                <w:rFonts w:hint="default" w:ascii="Times New Roman" w:hAnsi="Times New Roman" w:cs="Times New Roman"/>
                <w:bCs/>
                <w:color w:val="auto"/>
                <w:szCs w:val="28"/>
                <w:highlight w:val="none"/>
              </w:rPr>
              <w:t>详见后款第二条。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400" w:lineRule="exact"/>
              <w:jc w:val="center"/>
              <w:outlineLvl w:val="1"/>
              <w:rPr>
                <w:rFonts w:hint="default" w:ascii="Times New Roman" w:hAnsi="Times New Roman" w:cs="Times New Roman"/>
                <w:b/>
                <w:color w:val="auto"/>
                <w:szCs w:val="28"/>
                <w:highlight w:val="none"/>
              </w:rPr>
            </w:pPr>
            <w:r>
              <w:rPr>
                <w:rFonts w:hint="default" w:ascii="Times New Roman" w:hAnsi="Times New Roman" w:cs="Times New Roman"/>
                <w:b/>
                <w:color w:val="auto"/>
                <w:szCs w:val="28"/>
                <w:highlight w:val="none"/>
              </w:rPr>
              <w:t>三</w:t>
            </w:r>
          </w:p>
        </w:tc>
        <w:tc>
          <w:tcPr>
            <w:tcW w:w="3840" w:type="dxa"/>
            <w:noWrap w:val="0"/>
            <w:vAlign w:val="center"/>
          </w:tcPr>
          <w:p>
            <w:pPr>
              <w:spacing w:line="400" w:lineRule="exact"/>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采购标的需满足的质量、安全、技术规格、物理特性等要求</w:t>
            </w:r>
          </w:p>
        </w:tc>
        <w:tc>
          <w:tcPr>
            <w:tcW w:w="4425" w:type="dxa"/>
            <w:noWrap w:val="0"/>
            <w:vAlign w:val="center"/>
          </w:tcPr>
          <w:p>
            <w:pPr>
              <w:spacing w:line="400" w:lineRule="exact"/>
              <w:outlineLvl w:val="1"/>
              <w:rPr>
                <w:rFonts w:hint="default" w:ascii="Times New Roman" w:hAnsi="Times New Roman" w:cs="Times New Roman"/>
                <w:b/>
                <w:color w:val="auto"/>
                <w:szCs w:val="28"/>
                <w:highlight w:val="none"/>
              </w:rPr>
            </w:pPr>
            <w:r>
              <w:rPr>
                <w:rFonts w:hint="default" w:ascii="Times New Roman" w:hAnsi="Times New Roman" w:cs="Times New Roman"/>
                <w:bCs/>
                <w:color w:val="auto"/>
                <w:szCs w:val="28"/>
                <w:highlight w:val="none"/>
              </w:rPr>
              <w:t>详见后款第二条。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400" w:lineRule="exact"/>
              <w:jc w:val="center"/>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四</w:t>
            </w:r>
          </w:p>
        </w:tc>
        <w:tc>
          <w:tcPr>
            <w:tcW w:w="3840" w:type="dxa"/>
            <w:noWrap w:val="0"/>
            <w:vAlign w:val="center"/>
          </w:tcPr>
          <w:p>
            <w:pPr>
              <w:spacing w:line="400" w:lineRule="exact"/>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采购标的的数量、采购项目交付或者实施的时间和地点</w:t>
            </w:r>
          </w:p>
        </w:tc>
        <w:tc>
          <w:tcPr>
            <w:tcW w:w="4425" w:type="dxa"/>
            <w:noWrap w:val="0"/>
            <w:vAlign w:val="center"/>
          </w:tcPr>
          <w:p>
            <w:pPr>
              <w:spacing w:line="400" w:lineRule="exact"/>
              <w:outlineLvl w:val="1"/>
              <w:rPr>
                <w:rFonts w:hint="default" w:ascii="Times New Roman" w:hAnsi="Times New Roman" w:cs="Times New Roman"/>
                <w:b/>
                <w:color w:val="auto"/>
                <w:szCs w:val="28"/>
                <w:highlight w:val="none"/>
              </w:rPr>
            </w:pPr>
            <w:r>
              <w:rPr>
                <w:rFonts w:hint="default" w:ascii="Times New Roman" w:hAnsi="Times New Roman" w:cs="Times New Roman"/>
                <w:bCs/>
                <w:color w:val="auto"/>
                <w:szCs w:val="28"/>
                <w:highlight w:val="none"/>
              </w:rPr>
              <w:t>详见后款第二条。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400" w:lineRule="exact"/>
              <w:jc w:val="center"/>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五</w:t>
            </w:r>
          </w:p>
        </w:tc>
        <w:tc>
          <w:tcPr>
            <w:tcW w:w="3840" w:type="dxa"/>
            <w:noWrap w:val="0"/>
            <w:vAlign w:val="center"/>
          </w:tcPr>
          <w:p>
            <w:pPr>
              <w:spacing w:line="400" w:lineRule="exact"/>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采购标的需满足的服务标准、期限、效率等要求</w:t>
            </w:r>
          </w:p>
        </w:tc>
        <w:tc>
          <w:tcPr>
            <w:tcW w:w="4425" w:type="dxa"/>
            <w:noWrap w:val="0"/>
            <w:vAlign w:val="center"/>
          </w:tcPr>
          <w:p>
            <w:pPr>
              <w:spacing w:line="400" w:lineRule="exact"/>
              <w:outlineLvl w:val="1"/>
              <w:rPr>
                <w:rFonts w:hint="default" w:ascii="Times New Roman" w:hAnsi="Times New Roman" w:cs="Times New Roman"/>
                <w:b/>
                <w:color w:val="auto"/>
                <w:szCs w:val="28"/>
                <w:highlight w:val="none"/>
              </w:rPr>
            </w:pPr>
            <w:r>
              <w:rPr>
                <w:rFonts w:hint="default" w:ascii="Times New Roman" w:hAnsi="Times New Roman" w:cs="Times New Roman"/>
                <w:bCs/>
                <w:color w:val="auto"/>
                <w:szCs w:val="28"/>
                <w:highlight w:val="none"/>
              </w:rPr>
              <w:t>详见后款第二条。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400" w:lineRule="exact"/>
              <w:jc w:val="center"/>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六</w:t>
            </w:r>
          </w:p>
        </w:tc>
        <w:tc>
          <w:tcPr>
            <w:tcW w:w="3840" w:type="dxa"/>
            <w:noWrap w:val="0"/>
            <w:vAlign w:val="center"/>
          </w:tcPr>
          <w:p>
            <w:pPr>
              <w:spacing w:line="400" w:lineRule="exact"/>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采购标的的验收标准</w:t>
            </w:r>
          </w:p>
        </w:tc>
        <w:tc>
          <w:tcPr>
            <w:tcW w:w="4425" w:type="dxa"/>
            <w:noWrap w:val="0"/>
            <w:vAlign w:val="center"/>
          </w:tcPr>
          <w:p>
            <w:pPr>
              <w:spacing w:line="400" w:lineRule="exact"/>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1"/>
                <w:highlight w:val="none"/>
              </w:rPr>
              <w:t>按照招标文件和中标人提供的投标文件及中标人和采购人签订的政府采购合同为标准进行验收。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jc w:val="center"/>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七</w:t>
            </w:r>
          </w:p>
        </w:tc>
        <w:tc>
          <w:tcPr>
            <w:tcW w:w="3840" w:type="dxa"/>
            <w:noWrap w:val="0"/>
            <w:vAlign w:val="center"/>
          </w:tcPr>
          <w:p>
            <w:pPr>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采购标的的其他技术、服务等要求</w:t>
            </w:r>
          </w:p>
        </w:tc>
        <w:tc>
          <w:tcPr>
            <w:tcW w:w="4425" w:type="dxa"/>
            <w:noWrap w:val="0"/>
            <w:vAlign w:val="center"/>
          </w:tcPr>
          <w:p>
            <w:pPr>
              <w:spacing w:line="400" w:lineRule="exact"/>
              <w:outlineLvl w:val="1"/>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jc w:val="center"/>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八</w:t>
            </w:r>
          </w:p>
        </w:tc>
        <w:tc>
          <w:tcPr>
            <w:tcW w:w="3840" w:type="dxa"/>
            <w:noWrap w:val="0"/>
            <w:vAlign w:val="center"/>
          </w:tcPr>
          <w:p>
            <w:pPr>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核心产品</w:t>
            </w:r>
          </w:p>
        </w:tc>
        <w:tc>
          <w:tcPr>
            <w:tcW w:w="4425" w:type="dxa"/>
            <w:noWrap w:val="0"/>
            <w:vAlign w:val="center"/>
          </w:tcPr>
          <w:p>
            <w:pPr>
              <w:spacing w:line="400" w:lineRule="exact"/>
              <w:outlineLvl w:val="1"/>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jc w:val="center"/>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九</w:t>
            </w:r>
          </w:p>
        </w:tc>
        <w:tc>
          <w:tcPr>
            <w:tcW w:w="3840" w:type="dxa"/>
            <w:noWrap w:val="0"/>
            <w:vAlign w:val="center"/>
          </w:tcPr>
          <w:p>
            <w:pPr>
              <w:outlineLvl w:val="1"/>
              <w:rPr>
                <w:rFonts w:hint="default" w:ascii="Times New Roman" w:hAnsi="Times New Roman" w:cs="Times New Roman"/>
                <w:bCs/>
                <w:color w:val="auto"/>
                <w:szCs w:val="28"/>
                <w:highlight w:val="none"/>
              </w:rPr>
            </w:pPr>
            <w:r>
              <w:rPr>
                <w:rFonts w:hint="default" w:ascii="Times New Roman" w:hAnsi="Times New Roman" w:cs="Times New Roman"/>
                <w:color w:val="auto"/>
                <w:highlight w:val="none"/>
              </w:rPr>
              <w:t>现场踏勘</w:t>
            </w:r>
          </w:p>
        </w:tc>
        <w:tc>
          <w:tcPr>
            <w:tcW w:w="4425" w:type="dxa"/>
            <w:noWrap w:val="0"/>
            <w:vAlign w:val="center"/>
          </w:tcPr>
          <w:p>
            <w:pPr>
              <w:spacing w:line="400" w:lineRule="exact"/>
              <w:outlineLvl w:val="1"/>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jc w:val="center"/>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十</w:t>
            </w:r>
          </w:p>
        </w:tc>
        <w:tc>
          <w:tcPr>
            <w:tcW w:w="3840" w:type="dxa"/>
            <w:noWrap w:val="0"/>
            <w:vAlign w:val="center"/>
          </w:tcPr>
          <w:p>
            <w:pPr>
              <w:outlineLvl w:val="1"/>
              <w:rPr>
                <w:rFonts w:hint="default" w:ascii="Times New Roman" w:hAnsi="Times New Roman" w:cs="Times New Roman"/>
                <w:color w:val="auto"/>
                <w:highlight w:val="none"/>
              </w:rPr>
            </w:pPr>
            <w:r>
              <w:rPr>
                <w:rFonts w:hint="default" w:ascii="Times New Roman" w:hAnsi="Times New Roman" w:cs="Times New Roman"/>
                <w:color w:val="auto"/>
                <w:highlight w:val="none"/>
              </w:rPr>
              <w:t>样品要求</w:t>
            </w:r>
          </w:p>
        </w:tc>
        <w:tc>
          <w:tcPr>
            <w:tcW w:w="4425" w:type="dxa"/>
            <w:noWrap w:val="0"/>
            <w:vAlign w:val="center"/>
          </w:tcPr>
          <w:p>
            <w:pPr>
              <w:outlineLvl w:val="1"/>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无。</w:t>
            </w:r>
          </w:p>
        </w:tc>
      </w:tr>
    </w:tbl>
    <w:p>
      <w:pPr>
        <w:rPr>
          <w:rFonts w:hint="default" w:ascii="Times New Roman" w:hAnsi="Times New Roman" w:cs="Times New Roman"/>
          <w:color w:val="auto"/>
          <w:kern w:val="44"/>
          <w:highlight w:val="none"/>
        </w:rPr>
      </w:pPr>
    </w:p>
    <w:p>
      <w:pPr>
        <w:spacing w:line="360" w:lineRule="auto"/>
        <w:jc w:val="left"/>
        <w:rPr>
          <w:rFonts w:hint="default" w:ascii="Times New Roman" w:hAnsi="Times New Roman" w:cs="Times New Roman"/>
          <w:b/>
          <w:bCs/>
          <w:color w:val="auto"/>
          <w:szCs w:val="21"/>
          <w:highlight w:val="none"/>
        </w:rPr>
      </w:pPr>
      <w:bookmarkStart w:id="29" w:name="_Toc460857893"/>
      <w:bookmarkStart w:id="30" w:name="_Toc509831393"/>
      <w:r>
        <w:rPr>
          <w:rFonts w:hint="default" w:ascii="Times New Roman" w:hAnsi="Times New Roman" w:cs="Times New Roman"/>
          <w:b/>
          <w:bCs/>
          <w:color w:val="auto"/>
          <w:szCs w:val="21"/>
          <w:highlight w:val="none"/>
        </w:rPr>
        <w:t>一、商务要求</w:t>
      </w:r>
      <w:bookmarkEnd w:id="26"/>
      <w:bookmarkEnd w:id="27"/>
      <w:bookmarkEnd w:id="28"/>
      <w:bookmarkEnd w:id="29"/>
      <w:bookmarkEnd w:id="30"/>
      <w:r>
        <w:rPr>
          <w:rFonts w:hint="default" w:ascii="Times New Roman" w:hAnsi="Times New Roman" w:cs="Times New Roman"/>
          <w:b/>
          <w:bCs/>
          <w:color w:val="auto"/>
          <w:szCs w:val="21"/>
          <w:highlight w:val="none"/>
        </w:rPr>
        <w:t>表</w:t>
      </w:r>
    </w:p>
    <w:tbl>
      <w:tblPr>
        <w:tblStyle w:val="38"/>
        <w:tblW w:w="90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6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336" w:type="dxa"/>
            <w:noWrap w:val="0"/>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w:t>
            </w:r>
          </w:p>
        </w:tc>
        <w:tc>
          <w:tcPr>
            <w:tcW w:w="6675" w:type="dxa"/>
            <w:noWrap w:val="0"/>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szCs w:val="21"/>
                <w:highlight w:val="none"/>
              </w:rPr>
              <w:t>服务期限</w:t>
            </w:r>
          </w:p>
        </w:tc>
        <w:tc>
          <w:tcPr>
            <w:tcW w:w="6675"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详见第一章《公开招标采购公告》。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服务地点/服务现场</w:t>
            </w:r>
          </w:p>
        </w:tc>
        <w:tc>
          <w:tcPr>
            <w:tcW w:w="6675"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pPr>
              <w:pStyle w:val="139"/>
              <w:spacing w:line="360" w:lineRule="auto"/>
              <w:ind w:left="-210" w:right="-105" w:firstLine="21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*履约保证金</w:t>
            </w:r>
          </w:p>
        </w:tc>
        <w:tc>
          <w:tcPr>
            <w:tcW w:w="6675" w:type="dxa"/>
            <w:noWrap w:val="0"/>
            <w:vAlign w:val="center"/>
          </w:tcPr>
          <w:p>
            <w:pPr>
              <w:spacing w:line="360" w:lineRule="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付款方式</w:t>
            </w:r>
          </w:p>
        </w:tc>
        <w:tc>
          <w:tcPr>
            <w:tcW w:w="6675" w:type="dxa"/>
            <w:noWrap w:val="0"/>
            <w:vAlign w:val="center"/>
          </w:tcPr>
          <w:p>
            <w:pPr>
              <w:numPr>
                <w:ilvl w:val="0"/>
                <w:numId w:val="0"/>
              </w:numPr>
              <w:spacing w:line="360" w:lineRule="auto"/>
              <w:rPr>
                <w:rFonts w:hint="eastAsia"/>
                <w:color w:val="auto"/>
                <w:szCs w:val="21"/>
                <w:highlight w:val="none"/>
              </w:rPr>
            </w:pPr>
            <w:r>
              <w:rPr>
                <w:rFonts w:hint="eastAsia"/>
                <w:color w:val="auto"/>
                <w:highlight w:val="none"/>
                <w:lang w:val="en-US" w:eastAsia="zh-CN"/>
              </w:rPr>
              <w:t>1、</w:t>
            </w:r>
            <w:r>
              <w:rPr>
                <w:rFonts w:hint="eastAsia"/>
                <w:color w:val="auto"/>
                <w:highlight w:val="none"/>
                <w:lang w:eastAsia="zh-CN"/>
              </w:rPr>
              <w:t>在合同生效以及具备实施条件后7个工作日内支付合同总价的70%作为预付款</w:t>
            </w:r>
            <w:r>
              <w:rPr>
                <w:rFonts w:hint="eastAsia"/>
                <w:color w:val="auto"/>
                <w:szCs w:val="21"/>
                <w:highlight w:val="none"/>
              </w:rPr>
              <w:t>；</w:t>
            </w:r>
          </w:p>
          <w:p>
            <w:pPr>
              <w:spacing w:line="360" w:lineRule="auto"/>
              <w:rPr>
                <w:rFonts w:hint="default" w:eastAsia="宋体"/>
                <w:color w:val="auto"/>
                <w:szCs w:val="21"/>
                <w:highlight w:val="none"/>
                <w:lang w:val="en-US" w:eastAsia="zh-CN"/>
              </w:rPr>
            </w:pPr>
            <w:r>
              <w:rPr>
                <w:rFonts w:hint="eastAsia"/>
                <w:color w:val="auto"/>
                <w:szCs w:val="21"/>
                <w:highlight w:val="none"/>
              </w:rPr>
              <w:t>2、</w:t>
            </w:r>
            <w:r>
              <w:rPr>
                <w:rFonts w:hint="eastAsia"/>
                <w:color w:val="auto"/>
                <w:szCs w:val="21"/>
                <w:highlight w:val="none"/>
                <w:lang w:val="en-US" w:eastAsia="zh-CN"/>
              </w:rPr>
              <w:t>合同履约完成并经考核后支付剩余余款。</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default" w:ascii="Times New Roman" w:hAnsi="Times New Roman" w:eastAsia="宋体" w:cs="Times New Roman"/>
                <w:color w:val="auto"/>
                <w:szCs w:val="21"/>
                <w:highlight w:val="none"/>
              </w:rPr>
            </w:pPr>
            <w:r>
              <w:rPr>
                <w:rFonts w:hint="eastAsia"/>
                <w:color w:val="auto"/>
                <w:highlight w:val="none"/>
                <w:lang w:val="en-US" w:eastAsia="zh-CN"/>
              </w:rPr>
              <w:t>注：</w:t>
            </w:r>
            <w:r>
              <w:rPr>
                <w:rFonts w:hint="default" w:ascii="Times New Roman" w:hAnsi="Times New Roman" w:eastAsia="宋体" w:cs="Times New Roman"/>
                <w:color w:val="auto"/>
                <w:highlight w:val="none"/>
                <w:lang w:val="en-US" w:eastAsia="zh-CN"/>
              </w:rPr>
              <w:t>采购人自收到发票后7个工作日内支付款项。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pPr>
              <w:spacing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合同终止</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中标人</w:t>
            </w:r>
            <w:r>
              <w:rPr>
                <w:rFonts w:hint="default" w:ascii="Times New Roman" w:hAnsi="Times New Roman" w:eastAsia="宋体" w:cs="Times New Roman"/>
                <w:color w:val="auto"/>
                <w:kern w:val="2"/>
                <w:sz w:val="21"/>
                <w:highlight w:val="none"/>
              </w:rPr>
              <w:t>在合同有效期内，不得以任何理由终止合同，确有特殊情况的，须提前两个月向采购人提出书面申请，经采购人同意后，方可终止合同。因</w:t>
            </w:r>
            <w:r>
              <w:rPr>
                <w:rFonts w:hint="default" w:ascii="Times New Roman" w:hAnsi="Times New Roman" w:eastAsia="宋体" w:cs="Times New Roman"/>
                <w:color w:val="auto"/>
                <w:szCs w:val="21"/>
                <w:highlight w:val="none"/>
              </w:rPr>
              <w:t>中标人</w:t>
            </w:r>
            <w:r>
              <w:rPr>
                <w:rFonts w:hint="default" w:ascii="Times New Roman" w:hAnsi="Times New Roman" w:eastAsia="宋体" w:cs="Times New Roman"/>
                <w:color w:val="auto"/>
                <w:kern w:val="2"/>
                <w:sz w:val="21"/>
                <w:highlight w:val="none"/>
              </w:rPr>
              <w:t>发生重大差错事故的，采购人可有权终止协议，</w:t>
            </w:r>
            <w:r>
              <w:rPr>
                <w:rFonts w:hint="default" w:ascii="Times New Roman" w:hAnsi="Times New Roman" w:eastAsia="宋体" w:cs="Times New Roman"/>
                <w:color w:val="auto"/>
                <w:szCs w:val="21"/>
                <w:highlight w:val="none"/>
              </w:rPr>
              <w:t>中标人</w:t>
            </w:r>
            <w:r>
              <w:rPr>
                <w:rFonts w:hint="default" w:ascii="Times New Roman" w:hAnsi="Times New Roman" w:eastAsia="宋体" w:cs="Times New Roman"/>
                <w:color w:val="auto"/>
                <w:kern w:val="2"/>
                <w:sz w:val="21"/>
                <w:highlight w:val="none"/>
              </w:rPr>
              <w:t>承担全部责任。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验收</w:t>
            </w:r>
          </w:p>
        </w:tc>
        <w:tc>
          <w:tcPr>
            <w:tcW w:w="6675"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按照采购文件要求、中标人的投标文件（承诺）及签订的合同约定进行验收。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其他要求</w:t>
            </w:r>
          </w:p>
        </w:tc>
        <w:tc>
          <w:tcPr>
            <w:tcW w:w="6675"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详见第五章政府采购合同主要条款。</w:t>
            </w:r>
          </w:p>
        </w:tc>
      </w:tr>
    </w:tbl>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br w:type="page"/>
      </w:r>
      <w:bookmarkEnd w:id="8"/>
      <w:bookmarkStart w:id="31" w:name="_Toc6718"/>
      <w:bookmarkStart w:id="32" w:name="_Toc23436"/>
      <w:bookmarkStart w:id="33" w:name="_Toc21022_WPSOffice_Level1"/>
      <w:r>
        <w:rPr>
          <w:rFonts w:hint="eastAsia" w:cs="Times New Roman"/>
          <w:b/>
          <w:bCs/>
          <w:color w:val="auto"/>
          <w:szCs w:val="21"/>
          <w:highlight w:val="none"/>
          <w:lang w:val="en-US" w:eastAsia="zh-CN"/>
        </w:rPr>
        <w:t>二、</w:t>
      </w:r>
      <w:r>
        <w:rPr>
          <w:rFonts w:hint="default" w:ascii="Times New Roman" w:hAnsi="Times New Roman" w:eastAsia="宋体" w:cs="Times New Roman"/>
          <w:b/>
          <w:bCs/>
          <w:color w:val="auto"/>
          <w:szCs w:val="21"/>
          <w:highlight w:val="none"/>
        </w:rPr>
        <w:t>详细采购需求</w:t>
      </w:r>
    </w:p>
    <w:p>
      <w:pPr>
        <w:spacing w:line="360" w:lineRule="auto"/>
        <w:ind w:firstLine="422" w:firstLineChars="200"/>
        <w:rPr>
          <w:rFonts w:hint="default"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2.1</w:t>
      </w:r>
      <w:r>
        <w:rPr>
          <w:rFonts w:hint="default" w:ascii="Times New Roman" w:hAnsi="Times New Roman" w:eastAsia="宋体" w:cs="Times New Roman"/>
          <w:b/>
          <w:bCs/>
          <w:color w:val="auto"/>
          <w:szCs w:val="21"/>
          <w:highlight w:val="none"/>
        </w:rPr>
        <w:t>项目概况</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城乡文明程度指数测评是镇海区文明办督查机制的一个重要抓手，按照“高标准、常态化、全域化”的要求，对全区6个镇（街道）的</w:t>
      </w:r>
      <w:r>
        <w:rPr>
          <w:rFonts w:hint="default" w:ascii="Times New Roman" w:hAnsi="Times New Roman" w:eastAsia="宋体" w:cs="Times New Roman"/>
          <w:color w:val="auto"/>
          <w:szCs w:val="21"/>
          <w:highlight w:val="none"/>
          <w:lang w:eastAsia="zh-CN"/>
        </w:rPr>
        <w:t>文明城市常态化管理工作</w:t>
      </w:r>
      <w:r>
        <w:rPr>
          <w:rFonts w:hint="default" w:ascii="Times New Roman" w:hAnsi="Times New Roman" w:eastAsia="宋体" w:cs="Times New Roman"/>
          <w:color w:val="auto"/>
          <w:szCs w:val="21"/>
          <w:highlight w:val="none"/>
        </w:rPr>
        <w:t>进行检查考核。</w:t>
      </w:r>
    </w:p>
    <w:p>
      <w:pPr>
        <w:spacing w:line="360" w:lineRule="auto"/>
        <w:ind w:firstLine="422" w:firstLineChars="200"/>
        <w:rPr>
          <w:rFonts w:hint="default"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2.2</w:t>
      </w:r>
      <w:r>
        <w:rPr>
          <w:rFonts w:hint="default" w:ascii="Times New Roman" w:hAnsi="Times New Roman" w:eastAsia="宋体" w:cs="Times New Roman"/>
          <w:b/>
          <w:bCs/>
          <w:color w:val="auto"/>
          <w:szCs w:val="21"/>
          <w:highlight w:val="none"/>
        </w:rPr>
        <w:t>考评对象</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考评对象为全区所有行政村、社区及重点点位。其中</w:t>
      </w:r>
      <w:r>
        <w:rPr>
          <w:rFonts w:hint="default" w:ascii="Times New Roman" w:hAnsi="Times New Roman" w:eastAsia="宋体" w:cs="Times New Roman"/>
          <w:color w:val="auto"/>
          <w:szCs w:val="21"/>
          <w:highlight w:val="none"/>
          <w:lang w:eastAsia="zh-CN"/>
        </w:rPr>
        <w:t>村社</w:t>
      </w:r>
      <w:r>
        <w:rPr>
          <w:rFonts w:hint="default" w:ascii="Times New Roman" w:hAnsi="Times New Roman" w:eastAsia="宋体" w:cs="Times New Roman"/>
          <w:color w:val="auto"/>
          <w:szCs w:val="21"/>
          <w:highlight w:val="none"/>
          <w:lang w:val="en-US" w:eastAsia="zh-CN"/>
        </w:rPr>
        <w:t>90</w:t>
      </w:r>
      <w:r>
        <w:rPr>
          <w:rFonts w:hint="default" w:ascii="Times New Roman" w:hAnsi="Times New Roman" w:eastAsia="宋体" w:cs="Times New Roman"/>
          <w:color w:val="auto"/>
          <w:szCs w:val="21"/>
          <w:highlight w:val="none"/>
        </w:rPr>
        <w:t>个，重点点位2</w:t>
      </w:r>
      <w:r>
        <w:rPr>
          <w:rFonts w:hint="default" w:ascii="Times New Roman" w:hAnsi="Times New Roman" w:eastAsia="宋体" w:cs="Times New Roman"/>
          <w:color w:val="auto"/>
          <w:szCs w:val="21"/>
          <w:highlight w:val="none"/>
          <w:lang w:val="en-US" w:eastAsia="zh-CN"/>
        </w:rPr>
        <w:t>50余</w:t>
      </w:r>
      <w:r>
        <w:rPr>
          <w:rFonts w:hint="default" w:ascii="Times New Roman" w:hAnsi="Times New Roman" w:eastAsia="宋体" w:cs="Times New Roman"/>
          <w:color w:val="auto"/>
          <w:szCs w:val="21"/>
          <w:highlight w:val="none"/>
        </w:rPr>
        <w:t>个，具体由区文明办根据</w:t>
      </w:r>
      <w:r>
        <w:rPr>
          <w:rFonts w:hint="default" w:ascii="Times New Roman" w:hAnsi="Times New Roman" w:eastAsia="宋体" w:cs="Times New Roman"/>
          <w:color w:val="auto"/>
          <w:szCs w:val="21"/>
          <w:highlight w:val="none"/>
          <w:lang w:eastAsia="zh-CN"/>
        </w:rPr>
        <w:t>每年</w:t>
      </w:r>
      <w:r>
        <w:rPr>
          <w:rFonts w:hint="default" w:ascii="Times New Roman" w:hAnsi="Times New Roman" w:eastAsia="宋体" w:cs="Times New Roman"/>
          <w:color w:val="auto"/>
          <w:szCs w:val="21"/>
          <w:highlight w:val="none"/>
        </w:rPr>
        <w:t>实际情况</w:t>
      </w:r>
      <w:r>
        <w:rPr>
          <w:rFonts w:hint="default" w:ascii="Times New Roman" w:hAnsi="Times New Roman" w:eastAsia="宋体" w:cs="Times New Roman"/>
          <w:color w:val="auto"/>
          <w:szCs w:val="21"/>
          <w:highlight w:val="none"/>
          <w:lang w:eastAsia="zh-CN"/>
        </w:rPr>
        <w:t>调整</w:t>
      </w:r>
      <w:r>
        <w:rPr>
          <w:rFonts w:hint="default" w:ascii="Times New Roman" w:hAnsi="Times New Roman" w:eastAsia="宋体" w:cs="Times New Roman"/>
          <w:color w:val="auto"/>
          <w:szCs w:val="21"/>
          <w:highlight w:val="none"/>
        </w:rPr>
        <w:t>。</w:t>
      </w:r>
    </w:p>
    <w:p>
      <w:pPr>
        <w:spacing w:line="360" w:lineRule="auto"/>
        <w:ind w:firstLine="422" w:firstLineChars="200"/>
        <w:rPr>
          <w:rFonts w:hint="default"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val="en-US" w:eastAsia="zh-CN"/>
        </w:rPr>
        <w:t>2.3</w:t>
      </w:r>
      <w:r>
        <w:rPr>
          <w:rFonts w:hint="default" w:ascii="Times New Roman" w:hAnsi="Times New Roman" w:eastAsia="宋体" w:cs="Times New Roman"/>
          <w:b/>
          <w:bCs/>
          <w:color w:val="auto"/>
          <w:szCs w:val="21"/>
          <w:highlight w:val="none"/>
          <w:lang w:eastAsia="zh-CN"/>
        </w:rPr>
        <w:t>服务内容</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2.3.</w:t>
      </w:r>
      <w:r>
        <w:rPr>
          <w:rFonts w:hint="default" w:ascii="Times New Roman" w:hAnsi="Times New Roman" w:eastAsia="宋体" w:cs="Times New Roman"/>
          <w:color w:val="auto"/>
          <w:szCs w:val="21"/>
          <w:highlight w:val="none"/>
        </w:rPr>
        <w:t>1对镇海区所有行政村、社区</w:t>
      </w:r>
      <w:r>
        <w:rPr>
          <w:rFonts w:hint="default" w:ascii="Times New Roman" w:hAnsi="Times New Roman" w:eastAsia="宋体" w:cs="Times New Roman"/>
          <w:color w:val="auto"/>
          <w:szCs w:val="21"/>
          <w:highlight w:val="none"/>
          <w:lang w:eastAsia="zh-CN"/>
        </w:rPr>
        <w:t>进行常态化</w:t>
      </w:r>
      <w:r>
        <w:rPr>
          <w:rFonts w:hint="default" w:ascii="Times New Roman" w:hAnsi="Times New Roman" w:eastAsia="宋体" w:cs="Times New Roman"/>
          <w:color w:val="auto"/>
          <w:szCs w:val="21"/>
          <w:highlight w:val="none"/>
        </w:rPr>
        <w:t>检查考核</w:t>
      </w:r>
      <w:r>
        <w:rPr>
          <w:rFonts w:hint="default" w:ascii="Times New Roman" w:hAnsi="Times New Roman" w:eastAsia="宋体" w:cs="Times New Roman"/>
          <w:color w:val="auto"/>
          <w:szCs w:val="21"/>
          <w:highlight w:val="none"/>
          <w:lang w:eastAsia="zh-CN"/>
        </w:rPr>
        <w:t>，每季度出具一份评估报告，共计四次</w:t>
      </w:r>
      <w:r>
        <w:rPr>
          <w:rFonts w:hint="default" w:ascii="Times New Roman" w:hAnsi="Times New Roman" w:eastAsia="宋体" w:cs="Times New Roman"/>
          <w:color w:val="auto"/>
          <w:szCs w:val="21"/>
          <w:highlight w:val="none"/>
        </w:rPr>
        <w:t>。</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2.3.2</w:t>
      </w:r>
      <w:r>
        <w:rPr>
          <w:rFonts w:hint="default" w:ascii="Times New Roman" w:hAnsi="Times New Roman" w:eastAsia="宋体" w:cs="Times New Roman"/>
          <w:color w:val="auto"/>
          <w:szCs w:val="21"/>
          <w:highlight w:val="none"/>
        </w:rPr>
        <w:t>根据创建工作要求开展专项测评工作，具体专项测评工作有：公益广告宣传、农贸市场文明创建、文明村镇创建、入户调查、未成年人专项测评等</w:t>
      </w:r>
      <w:r>
        <w:rPr>
          <w:rFonts w:hint="default" w:ascii="Times New Roman" w:hAnsi="Times New Roman" w:eastAsia="宋体" w:cs="Times New Roman"/>
          <w:color w:val="auto"/>
          <w:szCs w:val="21"/>
          <w:highlight w:val="none"/>
          <w:lang w:eastAsia="zh-CN"/>
        </w:rPr>
        <w:t>，专项测评不少于</w:t>
      </w:r>
      <w:r>
        <w:rPr>
          <w:rFonts w:hint="default" w:ascii="Times New Roman" w:hAnsi="Times New Roman" w:eastAsia="宋体" w:cs="Times New Roman"/>
          <w:color w:val="auto"/>
          <w:szCs w:val="21"/>
          <w:highlight w:val="none"/>
          <w:lang w:val="en-US" w:eastAsia="zh-CN"/>
        </w:rPr>
        <w:t>4次</w:t>
      </w:r>
      <w:r>
        <w:rPr>
          <w:rFonts w:hint="default" w:ascii="Times New Roman" w:hAnsi="Times New Roman" w:eastAsia="宋体" w:cs="Times New Roman"/>
          <w:color w:val="auto"/>
          <w:szCs w:val="21"/>
          <w:highlight w:val="none"/>
        </w:rPr>
        <w:t>。</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2.3.3</w:t>
      </w:r>
      <w:r>
        <w:rPr>
          <w:rFonts w:hint="default" w:ascii="Times New Roman" w:hAnsi="Times New Roman" w:eastAsia="宋体" w:cs="Times New Roman"/>
          <w:color w:val="auto"/>
          <w:szCs w:val="21"/>
          <w:highlight w:val="none"/>
          <w:lang w:eastAsia="zh-CN"/>
        </w:rPr>
        <w:t>对于测评发现的问题</w:t>
      </w:r>
      <w:r>
        <w:rPr>
          <w:rFonts w:hint="default" w:ascii="Times New Roman" w:hAnsi="Times New Roman" w:eastAsia="宋体" w:cs="Times New Roman"/>
          <w:color w:val="auto"/>
          <w:szCs w:val="21"/>
          <w:highlight w:val="none"/>
        </w:rPr>
        <w:t>，依托“</w:t>
      </w:r>
      <w:r>
        <w:rPr>
          <w:rFonts w:hint="default" w:ascii="Times New Roman" w:hAnsi="Times New Roman" w:eastAsia="宋体" w:cs="Times New Roman"/>
          <w:color w:val="auto"/>
          <w:szCs w:val="21"/>
          <w:highlight w:val="none"/>
          <w:lang w:eastAsia="zh-CN"/>
        </w:rPr>
        <w:t>浙里甬文明</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平台</w:t>
      </w:r>
      <w:r>
        <w:rPr>
          <w:rFonts w:hint="default" w:ascii="Times New Roman" w:hAnsi="Times New Roman" w:eastAsia="宋体" w:cs="Times New Roman"/>
          <w:color w:val="auto"/>
          <w:szCs w:val="21"/>
          <w:highlight w:val="none"/>
        </w:rPr>
        <w:t>实时记录发现的问题、第一时间上传管理平台，并及时</w:t>
      </w:r>
      <w:r>
        <w:rPr>
          <w:rFonts w:hint="default" w:ascii="Times New Roman" w:hAnsi="Times New Roman" w:eastAsia="宋体" w:cs="Times New Roman"/>
          <w:color w:val="auto"/>
          <w:szCs w:val="21"/>
          <w:highlight w:val="none"/>
          <w:lang w:eastAsia="zh-CN"/>
        </w:rPr>
        <w:t>完成对</w:t>
      </w:r>
      <w:r>
        <w:rPr>
          <w:rFonts w:hint="default" w:ascii="Times New Roman" w:hAnsi="Times New Roman" w:eastAsia="宋体" w:cs="Times New Roman"/>
          <w:color w:val="auto"/>
          <w:szCs w:val="21"/>
          <w:highlight w:val="none"/>
        </w:rPr>
        <w:t>问题照片的处置及闭环工作。</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2.3.4</w:t>
      </w:r>
      <w:r>
        <w:rPr>
          <w:rFonts w:hint="default" w:ascii="Times New Roman" w:hAnsi="Times New Roman" w:eastAsia="宋体" w:cs="Times New Roman"/>
          <w:color w:val="auto"/>
          <w:szCs w:val="21"/>
          <w:highlight w:val="none"/>
        </w:rPr>
        <w:t>检查</w:t>
      </w:r>
      <w:r>
        <w:rPr>
          <w:rFonts w:hint="default" w:ascii="Times New Roman" w:hAnsi="Times New Roman" w:eastAsia="宋体" w:cs="Times New Roman"/>
          <w:color w:val="auto"/>
          <w:szCs w:val="21"/>
          <w:highlight w:val="none"/>
          <w:lang w:eastAsia="zh-CN"/>
        </w:rPr>
        <w:t>标准</w:t>
      </w:r>
      <w:r>
        <w:rPr>
          <w:rFonts w:hint="default" w:ascii="Times New Roman" w:hAnsi="Times New Roman" w:eastAsia="宋体" w:cs="Times New Roman"/>
          <w:color w:val="auto"/>
          <w:szCs w:val="21"/>
          <w:highlight w:val="none"/>
        </w:rPr>
        <w:t>：按照《全国文明城市测评体系》《全国未成年人思想道德建设工作测评体系》《浙江省城市文明程度指数测评体系》等执行，并根据工作要求适时调整。</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2.3.5</w:t>
      </w:r>
      <w:r>
        <w:rPr>
          <w:rFonts w:hint="default" w:ascii="Times New Roman" w:hAnsi="Times New Roman" w:eastAsia="宋体" w:cs="Times New Roman"/>
          <w:color w:val="auto"/>
          <w:szCs w:val="21"/>
          <w:highlight w:val="none"/>
        </w:rPr>
        <w:t>按项目实施要求，完成项目所需各类评价报告的撰写，完成各项所需指标的测评。</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2.3.6</w:t>
      </w:r>
      <w:r>
        <w:rPr>
          <w:rFonts w:hint="default" w:ascii="Times New Roman" w:hAnsi="Times New Roman" w:eastAsia="宋体" w:cs="Times New Roman"/>
          <w:color w:val="auto"/>
          <w:szCs w:val="21"/>
          <w:highlight w:val="none"/>
        </w:rPr>
        <w:t>采购人要求的其他工作。</w:t>
      </w:r>
    </w:p>
    <w:p>
      <w:pPr>
        <w:spacing w:line="360" w:lineRule="auto"/>
        <w:ind w:firstLine="422" w:firstLineChars="200"/>
        <w:rPr>
          <w:rFonts w:hint="default"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val="en-US" w:eastAsia="zh-CN"/>
        </w:rPr>
        <w:t>2.4</w:t>
      </w:r>
      <w:r>
        <w:rPr>
          <w:rFonts w:hint="default" w:ascii="Times New Roman" w:hAnsi="Times New Roman" w:eastAsia="宋体" w:cs="Times New Roman"/>
          <w:b/>
          <w:bCs/>
          <w:color w:val="auto"/>
          <w:szCs w:val="21"/>
          <w:highlight w:val="none"/>
          <w:lang w:eastAsia="zh-CN"/>
        </w:rPr>
        <w:t>评估质量考核</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为了确保测评员严格执行调查方案，当中标人完成实地测评评估后，采购人进行事后监督核实，随机抽取10%（含）以上比例的</w:t>
      </w:r>
      <w:r>
        <w:rPr>
          <w:rFonts w:hint="default" w:ascii="Times New Roman" w:hAnsi="Times New Roman" w:eastAsia="宋体" w:cs="Times New Roman"/>
          <w:color w:val="auto"/>
          <w:szCs w:val="21"/>
          <w:highlight w:val="none"/>
          <w:lang w:eastAsia="zh-CN"/>
        </w:rPr>
        <w:t>点位</w:t>
      </w:r>
      <w:r>
        <w:rPr>
          <w:rFonts w:hint="default" w:ascii="Times New Roman" w:hAnsi="Times New Roman" w:eastAsia="宋体" w:cs="Times New Roman"/>
          <w:color w:val="auto"/>
          <w:szCs w:val="21"/>
          <w:highlight w:val="none"/>
        </w:rPr>
        <w:t>进行实地复核。</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中标人根据招标要求，制定各项行政管理制度。采购人按考核表对中标人进行考核，要求得分在85分以上，低于85分每降1分扣罚0.5%本轮评估的结算款，低于60分则不予支付当期调查的结算款，同时终止本项目合同。</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（2）评估结果作为工作质量考核的重要参考依据，考核标准如下：</w:t>
      </w:r>
    </w:p>
    <w:tbl>
      <w:tblPr>
        <w:tblStyle w:val="38"/>
        <w:tblW w:w="80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36"/>
        <w:gridCol w:w="1134"/>
        <w:gridCol w:w="13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5536" w:type="dxa"/>
            <w:vAlign w:val="center"/>
          </w:tcPr>
          <w:p>
            <w:pPr>
              <w:pStyle w:val="2"/>
              <w:numPr>
                <w:ilvl w:val="0"/>
                <w:numId w:val="0"/>
              </w:numPr>
              <w:jc w:val="left"/>
              <w:rPr>
                <w:rFonts w:hint="default"/>
                <w:color w:val="auto"/>
                <w:highlight w:val="none"/>
              </w:rPr>
            </w:pPr>
            <w:r>
              <w:rPr>
                <w:rFonts w:hint="default"/>
                <w:color w:val="auto"/>
                <w:highlight w:val="none"/>
              </w:rPr>
              <w:t>工作质量标准</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分值</w:t>
            </w:r>
          </w:p>
        </w:tc>
        <w:tc>
          <w:tcPr>
            <w:tcW w:w="1368" w:type="dxa"/>
            <w:vAlign w:val="center"/>
          </w:tcPr>
          <w:p>
            <w:pPr>
              <w:pStyle w:val="2"/>
              <w:numPr>
                <w:ilvl w:val="0"/>
                <w:numId w:val="0"/>
              </w:numPr>
              <w:jc w:val="center"/>
              <w:rPr>
                <w:rFonts w:hint="default"/>
                <w:color w:val="auto"/>
                <w:highlight w:val="none"/>
              </w:rPr>
            </w:pPr>
            <w:r>
              <w:rPr>
                <w:rFonts w:hint="default"/>
                <w:color w:val="auto"/>
                <w:highlight w:val="none"/>
              </w:rPr>
              <w:t>考核得分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5536" w:type="dxa"/>
            <w:vAlign w:val="center"/>
          </w:tcPr>
          <w:p>
            <w:pPr>
              <w:pStyle w:val="2"/>
              <w:numPr>
                <w:ilvl w:val="0"/>
                <w:numId w:val="0"/>
              </w:numPr>
              <w:jc w:val="left"/>
              <w:rPr>
                <w:rFonts w:hint="default"/>
                <w:color w:val="auto"/>
                <w:highlight w:val="none"/>
              </w:rPr>
            </w:pPr>
            <w:r>
              <w:rPr>
                <w:rFonts w:hint="default"/>
                <w:color w:val="auto"/>
                <w:highlight w:val="none"/>
              </w:rPr>
              <w:t>一、调查方案</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20分</w:t>
            </w:r>
          </w:p>
        </w:tc>
        <w:tc>
          <w:tcPr>
            <w:tcW w:w="1368" w:type="dxa"/>
            <w:vAlign w:val="center"/>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36" w:type="dxa"/>
            <w:vAlign w:val="center"/>
          </w:tcPr>
          <w:p>
            <w:pPr>
              <w:pStyle w:val="2"/>
              <w:numPr>
                <w:ilvl w:val="0"/>
                <w:numId w:val="0"/>
              </w:numPr>
              <w:jc w:val="left"/>
              <w:rPr>
                <w:rFonts w:hint="default"/>
                <w:color w:val="auto"/>
                <w:highlight w:val="none"/>
              </w:rPr>
            </w:pPr>
            <w:r>
              <w:rPr>
                <w:rFonts w:hint="default"/>
                <w:color w:val="auto"/>
                <w:highlight w:val="none"/>
              </w:rPr>
              <w:t>1.按照规定的测评时间及测评期限进行实地评估</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10分</w:t>
            </w:r>
          </w:p>
        </w:tc>
        <w:tc>
          <w:tcPr>
            <w:tcW w:w="1368" w:type="dxa"/>
            <w:vAlign w:val="center"/>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5536" w:type="dxa"/>
            <w:vAlign w:val="center"/>
          </w:tcPr>
          <w:p>
            <w:pPr>
              <w:pStyle w:val="2"/>
              <w:numPr>
                <w:ilvl w:val="0"/>
                <w:numId w:val="0"/>
              </w:numPr>
              <w:jc w:val="left"/>
              <w:rPr>
                <w:rFonts w:hint="default"/>
                <w:color w:val="auto"/>
                <w:highlight w:val="none"/>
              </w:rPr>
            </w:pPr>
            <w:r>
              <w:rPr>
                <w:rFonts w:hint="default"/>
                <w:color w:val="auto"/>
                <w:highlight w:val="none"/>
              </w:rPr>
              <w:t>2.测评人员的稳定性达80%及以上</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10分</w:t>
            </w:r>
          </w:p>
        </w:tc>
        <w:tc>
          <w:tcPr>
            <w:tcW w:w="1368" w:type="dxa"/>
            <w:vAlign w:val="center"/>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36" w:type="dxa"/>
            <w:vAlign w:val="center"/>
          </w:tcPr>
          <w:p>
            <w:pPr>
              <w:pStyle w:val="2"/>
              <w:numPr>
                <w:ilvl w:val="0"/>
                <w:numId w:val="0"/>
              </w:numPr>
              <w:jc w:val="left"/>
              <w:rPr>
                <w:rFonts w:hint="default"/>
                <w:color w:val="auto"/>
                <w:highlight w:val="none"/>
              </w:rPr>
            </w:pPr>
            <w:r>
              <w:rPr>
                <w:rFonts w:hint="default"/>
                <w:color w:val="auto"/>
                <w:highlight w:val="none"/>
              </w:rPr>
              <w:t>二、评估准确率</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60分</w:t>
            </w:r>
          </w:p>
        </w:tc>
        <w:tc>
          <w:tcPr>
            <w:tcW w:w="1368" w:type="dxa"/>
            <w:vAlign w:val="top"/>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36" w:type="dxa"/>
            <w:vAlign w:val="center"/>
          </w:tcPr>
          <w:p>
            <w:pPr>
              <w:pStyle w:val="2"/>
              <w:numPr>
                <w:ilvl w:val="0"/>
                <w:numId w:val="0"/>
              </w:numPr>
              <w:jc w:val="left"/>
              <w:rPr>
                <w:rFonts w:hint="default"/>
                <w:color w:val="auto"/>
                <w:highlight w:val="none"/>
              </w:rPr>
            </w:pPr>
            <w:r>
              <w:rPr>
                <w:rFonts w:hint="default"/>
                <w:color w:val="auto"/>
                <w:highlight w:val="none"/>
              </w:rPr>
              <w:t>1.评估结果准确率达到95%</w:t>
            </w:r>
            <w:bookmarkStart w:id="34" w:name="OLE_LINK1"/>
            <w:r>
              <w:rPr>
                <w:rFonts w:hint="default"/>
                <w:color w:val="auto"/>
                <w:highlight w:val="none"/>
              </w:rPr>
              <w:t>（含）以上</w:t>
            </w:r>
            <w:bookmarkEnd w:id="34"/>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60分</w:t>
            </w:r>
          </w:p>
        </w:tc>
        <w:tc>
          <w:tcPr>
            <w:tcW w:w="1368" w:type="dxa"/>
            <w:vAlign w:val="top"/>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36" w:type="dxa"/>
            <w:vAlign w:val="center"/>
          </w:tcPr>
          <w:p>
            <w:pPr>
              <w:pStyle w:val="2"/>
              <w:numPr>
                <w:ilvl w:val="0"/>
                <w:numId w:val="0"/>
              </w:numPr>
              <w:jc w:val="left"/>
              <w:rPr>
                <w:rFonts w:hint="default"/>
                <w:color w:val="auto"/>
                <w:highlight w:val="none"/>
              </w:rPr>
            </w:pPr>
            <w:r>
              <w:rPr>
                <w:rFonts w:hint="default"/>
                <w:color w:val="auto"/>
                <w:highlight w:val="none"/>
              </w:rPr>
              <w:t>2.评估结果准确率在85%（含）-95%的</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55分</w:t>
            </w:r>
          </w:p>
        </w:tc>
        <w:tc>
          <w:tcPr>
            <w:tcW w:w="1368" w:type="dxa"/>
            <w:vAlign w:val="top"/>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36" w:type="dxa"/>
            <w:vAlign w:val="center"/>
          </w:tcPr>
          <w:p>
            <w:pPr>
              <w:pStyle w:val="2"/>
              <w:numPr>
                <w:ilvl w:val="0"/>
                <w:numId w:val="0"/>
              </w:numPr>
              <w:jc w:val="left"/>
              <w:rPr>
                <w:rFonts w:hint="default"/>
                <w:color w:val="auto"/>
                <w:highlight w:val="none"/>
              </w:rPr>
            </w:pPr>
            <w:r>
              <w:rPr>
                <w:rFonts w:hint="default"/>
                <w:color w:val="auto"/>
                <w:highlight w:val="none"/>
              </w:rPr>
              <w:t>3.评估结果准确率在85%以下的</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50分</w:t>
            </w:r>
          </w:p>
        </w:tc>
        <w:tc>
          <w:tcPr>
            <w:tcW w:w="1368" w:type="dxa"/>
            <w:vAlign w:val="top"/>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8038" w:type="dxa"/>
            <w:gridSpan w:val="3"/>
            <w:vAlign w:val="center"/>
          </w:tcPr>
          <w:p>
            <w:pPr>
              <w:pStyle w:val="2"/>
              <w:numPr>
                <w:ilvl w:val="0"/>
                <w:numId w:val="0"/>
              </w:numPr>
              <w:rPr>
                <w:rFonts w:hint="default"/>
                <w:color w:val="auto"/>
                <w:highlight w:val="none"/>
              </w:rPr>
            </w:pPr>
            <w:r>
              <w:rPr>
                <w:rFonts w:hint="default"/>
                <w:color w:val="auto"/>
                <w:highlight w:val="none"/>
              </w:rPr>
              <w:t>以上评估准确率只需填一档即可，即如达到95%，则只需填60分，以下两档无需填写，本项不重复累加分数。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36" w:type="dxa"/>
            <w:vAlign w:val="center"/>
          </w:tcPr>
          <w:p>
            <w:pPr>
              <w:pStyle w:val="2"/>
              <w:numPr>
                <w:ilvl w:val="0"/>
                <w:numId w:val="0"/>
              </w:numPr>
              <w:rPr>
                <w:rFonts w:hint="default"/>
                <w:color w:val="auto"/>
                <w:highlight w:val="none"/>
              </w:rPr>
            </w:pPr>
            <w:r>
              <w:rPr>
                <w:rFonts w:hint="default"/>
                <w:color w:val="auto"/>
                <w:highlight w:val="none"/>
              </w:rPr>
              <w:t>三、评估结果展示</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15分</w:t>
            </w:r>
          </w:p>
        </w:tc>
        <w:tc>
          <w:tcPr>
            <w:tcW w:w="1368" w:type="dxa"/>
            <w:vAlign w:val="top"/>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36" w:type="dxa"/>
            <w:vAlign w:val="center"/>
          </w:tcPr>
          <w:p>
            <w:pPr>
              <w:pStyle w:val="2"/>
              <w:numPr>
                <w:ilvl w:val="0"/>
                <w:numId w:val="0"/>
              </w:numPr>
              <w:rPr>
                <w:rFonts w:hint="default"/>
                <w:color w:val="auto"/>
                <w:highlight w:val="none"/>
              </w:rPr>
            </w:pPr>
            <w:r>
              <w:rPr>
                <w:rFonts w:hint="default"/>
                <w:color w:val="auto"/>
                <w:highlight w:val="none"/>
              </w:rPr>
              <w:t>1.评估报告客观，针对整改现状提出合理的建议</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10分</w:t>
            </w:r>
          </w:p>
        </w:tc>
        <w:tc>
          <w:tcPr>
            <w:tcW w:w="1368" w:type="dxa"/>
            <w:vAlign w:val="top"/>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36" w:type="dxa"/>
            <w:vAlign w:val="center"/>
          </w:tcPr>
          <w:p>
            <w:pPr>
              <w:pStyle w:val="2"/>
              <w:numPr>
                <w:ilvl w:val="0"/>
                <w:numId w:val="0"/>
              </w:numPr>
              <w:rPr>
                <w:rFonts w:hint="default"/>
                <w:color w:val="auto"/>
                <w:highlight w:val="none"/>
              </w:rPr>
            </w:pPr>
            <w:r>
              <w:rPr>
                <w:rFonts w:hint="default"/>
                <w:color w:val="auto"/>
                <w:highlight w:val="none"/>
              </w:rPr>
              <w:t>2.照片整理清晰，时间、地址录入规范，问题表达明确</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5分</w:t>
            </w:r>
          </w:p>
        </w:tc>
        <w:tc>
          <w:tcPr>
            <w:tcW w:w="1368" w:type="dxa"/>
            <w:vAlign w:val="top"/>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36" w:type="dxa"/>
            <w:vAlign w:val="center"/>
          </w:tcPr>
          <w:p>
            <w:pPr>
              <w:pStyle w:val="2"/>
              <w:numPr>
                <w:ilvl w:val="0"/>
                <w:numId w:val="0"/>
              </w:numPr>
              <w:rPr>
                <w:rFonts w:hint="default"/>
                <w:color w:val="auto"/>
                <w:highlight w:val="none"/>
              </w:rPr>
            </w:pPr>
            <w:r>
              <w:rPr>
                <w:rFonts w:hint="default"/>
                <w:color w:val="auto"/>
                <w:highlight w:val="none"/>
              </w:rPr>
              <w:t>四、其他</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5分</w:t>
            </w:r>
          </w:p>
        </w:tc>
        <w:tc>
          <w:tcPr>
            <w:tcW w:w="1368" w:type="dxa"/>
            <w:vAlign w:val="center"/>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36" w:type="dxa"/>
            <w:vAlign w:val="center"/>
          </w:tcPr>
          <w:p>
            <w:pPr>
              <w:pStyle w:val="2"/>
              <w:numPr>
                <w:ilvl w:val="0"/>
                <w:numId w:val="0"/>
              </w:numPr>
              <w:rPr>
                <w:rFonts w:hint="default"/>
                <w:color w:val="auto"/>
                <w:highlight w:val="none"/>
              </w:rPr>
            </w:pPr>
            <w:r>
              <w:rPr>
                <w:rFonts w:hint="default"/>
                <w:color w:val="auto"/>
                <w:highlight w:val="none"/>
              </w:rPr>
              <w:t>1.服从采购人其他安排，如进行专项评估</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5分</w:t>
            </w:r>
          </w:p>
        </w:tc>
        <w:tc>
          <w:tcPr>
            <w:tcW w:w="1368" w:type="dxa"/>
            <w:vAlign w:val="top"/>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36" w:type="dxa"/>
            <w:vAlign w:val="center"/>
          </w:tcPr>
          <w:p>
            <w:pPr>
              <w:pStyle w:val="2"/>
              <w:numPr>
                <w:ilvl w:val="0"/>
                <w:numId w:val="0"/>
              </w:numPr>
              <w:rPr>
                <w:rFonts w:hint="default"/>
                <w:color w:val="auto"/>
                <w:highlight w:val="none"/>
              </w:rPr>
            </w:pPr>
            <w:r>
              <w:rPr>
                <w:rFonts w:hint="default"/>
                <w:color w:val="auto"/>
                <w:highlight w:val="none"/>
              </w:rPr>
              <w:t>合计</w:t>
            </w:r>
          </w:p>
        </w:tc>
        <w:tc>
          <w:tcPr>
            <w:tcW w:w="1134" w:type="dxa"/>
            <w:vAlign w:val="center"/>
          </w:tcPr>
          <w:p>
            <w:pPr>
              <w:pStyle w:val="2"/>
              <w:numPr>
                <w:ilvl w:val="0"/>
                <w:numId w:val="0"/>
              </w:numPr>
              <w:jc w:val="center"/>
              <w:rPr>
                <w:rFonts w:hint="default"/>
                <w:color w:val="auto"/>
                <w:highlight w:val="none"/>
              </w:rPr>
            </w:pPr>
            <w:r>
              <w:rPr>
                <w:rFonts w:hint="default"/>
                <w:color w:val="auto"/>
                <w:highlight w:val="none"/>
              </w:rPr>
              <w:t>100分</w:t>
            </w:r>
          </w:p>
        </w:tc>
        <w:tc>
          <w:tcPr>
            <w:tcW w:w="1368" w:type="dxa"/>
            <w:vAlign w:val="center"/>
          </w:tcPr>
          <w:p>
            <w:pPr>
              <w:pStyle w:val="2"/>
              <w:numPr>
                <w:ilvl w:val="0"/>
                <w:numId w:val="0"/>
              </w:numPr>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038" w:type="dxa"/>
            <w:gridSpan w:val="3"/>
            <w:vAlign w:val="center"/>
          </w:tcPr>
          <w:p>
            <w:pPr>
              <w:pStyle w:val="2"/>
              <w:numPr>
                <w:ilvl w:val="0"/>
                <w:numId w:val="0"/>
              </w:numPr>
              <w:rPr>
                <w:rFonts w:hint="default"/>
                <w:color w:val="auto"/>
                <w:highlight w:val="none"/>
              </w:rPr>
            </w:pPr>
            <w:r>
              <w:rPr>
                <w:rFonts w:hint="default"/>
                <w:color w:val="auto"/>
                <w:highlight w:val="none"/>
              </w:rPr>
              <w:t>（第   次）评估质量考核得分：</w:t>
            </w:r>
          </w:p>
          <w:p>
            <w:pPr>
              <w:pStyle w:val="2"/>
              <w:numPr>
                <w:ilvl w:val="0"/>
                <w:numId w:val="0"/>
              </w:numPr>
              <w:rPr>
                <w:rFonts w:hint="default"/>
                <w:color w:val="auto"/>
                <w:highlight w:val="none"/>
              </w:rPr>
            </w:pPr>
            <w:r>
              <w:rPr>
                <w:rFonts w:hint="default"/>
                <w:color w:val="auto"/>
                <w:highlight w:val="none"/>
              </w:rPr>
              <w:t>考核日期：                        考核负责人：</w:t>
            </w:r>
          </w:p>
        </w:tc>
      </w:tr>
    </w:tbl>
    <w:p>
      <w:pPr>
        <w:spacing w:line="360" w:lineRule="auto"/>
        <w:ind w:firstLine="420" w:firstLineChars="200"/>
        <w:rPr>
          <w:rFonts w:hint="eastAsia" w:ascii="Times New Roman" w:hAnsi="Times New Roman" w:eastAsia="宋体" w:cs="Times New Roman"/>
          <w:color w:val="auto"/>
          <w:szCs w:val="21"/>
          <w:highlight w:val="none"/>
          <w:lang w:val="en-US" w:eastAsia="zh-CN"/>
        </w:rPr>
      </w:pPr>
    </w:p>
    <w:p>
      <w:pPr>
        <w:spacing w:line="360" w:lineRule="auto"/>
        <w:ind w:firstLine="422" w:firstLineChars="200"/>
        <w:rPr>
          <w:rFonts w:hint="default" w:ascii="Times New Roman" w:hAnsi="Times New Roman" w:eastAsia="宋体" w:cs="Times New Roman"/>
          <w:color w:val="auto"/>
          <w:szCs w:val="21"/>
          <w:highlight w:val="none"/>
          <w:lang w:eastAsia="zh-CN"/>
        </w:rPr>
      </w:pPr>
      <w:r>
        <w:rPr>
          <w:rFonts w:hint="eastAsia" w:ascii="Times New Roman" w:hAnsi="Times New Roman" w:eastAsia="宋体" w:cs="Times New Roman"/>
          <w:b/>
          <w:bCs/>
          <w:color w:val="auto"/>
          <w:szCs w:val="21"/>
          <w:highlight w:val="none"/>
          <w:lang w:val="en-US" w:eastAsia="zh-CN"/>
        </w:rPr>
        <w:t>2.5</w:t>
      </w:r>
      <w:r>
        <w:rPr>
          <w:rFonts w:hint="default" w:ascii="Times New Roman" w:hAnsi="Times New Roman" w:eastAsia="宋体" w:cs="Times New Roman"/>
          <w:b/>
          <w:bCs/>
          <w:color w:val="auto"/>
          <w:szCs w:val="21"/>
          <w:highlight w:val="none"/>
          <w:lang w:eastAsia="zh-CN"/>
        </w:rPr>
        <w:t>人员要求</w:t>
      </w:r>
    </w:p>
    <w:tbl>
      <w:tblPr>
        <w:tblStyle w:val="38"/>
        <w:tblW w:w="9637"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11"/>
        <w:gridCol w:w="1417"/>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blHeader/>
        </w:trPr>
        <w:tc>
          <w:tcPr>
            <w:tcW w:w="809" w:type="dxa"/>
            <w:vAlign w:val="center"/>
          </w:tcPr>
          <w:p>
            <w:pPr>
              <w:pStyle w:val="2"/>
              <w:numPr>
                <w:ilvl w:val="0"/>
                <w:numId w:val="0"/>
              </w:numPr>
              <w:jc w:val="center"/>
              <w:rPr>
                <w:rFonts w:hint="default"/>
                <w:color w:val="auto"/>
                <w:highlight w:val="none"/>
              </w:rPr>
            </w:pPr>
            <w:r>
              <w:rPr>
                <w:rFonts w:hint="default"/>
                <w:color w:val="auto"/>
                <w:highlight w:val="none"/>
              </w:rPr>
              <w:t>序号</w:t>
            </w:r>
          </w:p>
        </w:tc>
        <w:tc>
          <w:tcPr>
            <w:tcW w:w="1711" w:type="dxa"/>
            <w:vAlign w:val="center"/>
          </w:tcPr>
          <w:p>
            <w:pPr>
              <w:pStyle w:val="2"/>
              <w:numPr>
                <w:ilvl w:val="0"/>
                <w:numId w:val="0"/>
              </w:numPr>
              <w:jc w:val="center"/>
              <w:rPr>
                <w:rFonts w:hint="default"/>
                <w:color w:val="auto"/>
                <w:highlight w:val="none"/>
              </w:rPr>
            </w:pPr>
            <w:r>
              <w:rPr>
                <w:rFonts w:hint="default"/>
                <w:color w:val="auto"/>
                <w:highlight w:val="none"/>
              </w:rPr>
              <w:t>名称</w:t>
            </w:r>
          </w:p>
        </w:tc>
        <w:tc>
          <w:tcPr>
            <w:tcW w:w="1417" w:type="dxa"/>
            <w:vAlign w:val="center"/>
          </w:tcPr>
          <w:p>
            <w:pPr>
              <w:pStyle w:val="2"/>
              <w:numPr>
                <w:ilvl w:val="0"/>
                <w:numId w:val="0"/>
              </w:numPr>
              <w:jc w:val="center"/>
              <w:rPr>
                <w:rFonts w:hint="default"/>
                <w:color w:val="auto"/>
                <w:highlight w:val="none"/>
              </w:rPr>
            </w:pPr>
            <w:r>
              <w:rPr>
                <w:rFonts w:hint="default"/>
                <w:color w:val="auto"/>
                <w:highlight w:val="none"/>
              </w:rPr>
              <w:t>最低人员</w:t>
            </w:r>
          </w:p>
          <w:p>
            <w:pPr>
              <w:pStyle w:val="2"/>
              <w:numPr>
                <w:ilvl w:val="0"/>
                <w:numId w:val="0"/>
              </w:numPr>
              <w:jc w:val="center"/>
              <w:rPr>
                <w:rFonts w:hint="default"/>
                <w:color w:val="auto"/>
                <w:highlight w:val="none"/>
              </w:rPr>
            </w:pPr>
            <w:r>
              <w:rPr>
                <w:rFonts w:hint="default"/>
                <w:color w:val="auto"/>
                <w:highlight w:val="none"/>
              </w:rPr>
              <w:t>数量要求</w:t>
            </w:r>
          </w:p>
        </w:tc>
        <w:tc>
          <w:tcPr>
            <w:tcW w:w="5700" w:type="dxa"/>
            <w:vAlign w:val="center"/>
          </w:tcPr>
          <w:p>
            <w:pPr>
              <w:pStyle w:val="2"/>
              <w:numPr>
                <w:ilvl w:val="0"/>
                <w:numId w:val="0"/>
              </w:numPr>
              <w:jc w:val="center"/>
              <w:rPr>
                <w:rFonts w:hint="default"/>
                <w:color w:val="auto"/>
                <w:highlight w:val="none"/>
              </w:rPr>
            </w:pPr>
            <w:r>
              <w:rPr>
                <w:rFonts w:hint="default"/>
                <w:color w:val="auto"/>
                <w:highlight w:val="none"/>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809" w:type="dxa"/>
            <w:vAlign w:val="center"/>
          </w:tcPr>
          <w:p>
            <w:pPr>
              <w:pStyle w:val="2"/>
              <w:numPr>
                <w:ilvl w:val="0"/>
                <w:numId w:val="0"/>
              </w:numPr>
              <w:jc w:val="center"/>
              <w:rPr>
                <w:rFonts w:hint="default"/>
                <w:color w:val="auto"/>
                <w:highlight w:val="none"/>
              </w:rPr>
            </w:pPr>
            <w:r>
              <w:rPr>
                <w:rFonts w:hint="default"/>
                <w:color w:val="auto"/>
                <w:highlight w:val="none"/>
              </w:rPr>
              <w:t>1</w:t>
            </w:r>
          </w:p>
        </w:tc>
        <w:tc>
          <w:tcPr>
            <w:tcW w:w="1711" w:type="dxa"/>
            <w:vAlign w:val="center"/>
          </w:tcPr>
          <w:p>
            <w:pPr>
              <w:pStyle w:val="2"/>
              <w:numPr>
                <w:ilvl w:val="0"/>
                <w:numId w:val="0"/>
              </w:numPr>
              <w:jc w:val="center"/>
              <w:rPr>
                <w:rFonts w:hint="default"/>
                <w:color w:val="auto"/>
                <w:highlight w:val="none"/>
              </w:rPr>
            </w:pPr>
            <w:r>
              <w:rPr>
                <w:rFonts w:hint="default"/>
                <w:color w:val="auto"/>
                <w:highlight w:val="none"/>
              </w:rPr>
              <w:t>项目经理</w:t>
            </w:r>
          </w:p>
        </w:tc>
        <w:tc>
          <w:tcPr>
            <w:tcW w:w="1417" w:type="dxa"/>
            <w:vAlign w:val="center"/>
          </w:tcPr>
          <w:p>
            <w:pPr>
              <w:pStyle w:val="2"/>
              <w:numPr>
                <w:ilvl w:val="0"/>
                <w:numId w:val="0"/>
              </w:numPr>
              <w:jc w:val="center"/>
              <w:rPr>
                <w:rFonts w:hint="default"/>
                <w:color w:val="auto"/>
                <w:highlight w:val="none"/>
              </w:rPr>
            </w:pPr>
            <w:r>
              <w:rPr>
                <w:rFonts w:hint="default"/>
                <w:color w:val="auto"/>
                <w:highlight w:val="none"/>
              </w:rPr>
              <w:t>1名</w:t>
            </w:r>
          </w:p>
        </w:tc>
        <w:tc>
          <w:tcPr>
            <w:tcW w:w="5700" w:type="dxa"/>
            <w:vAlign w:val="center"/>
          </w:tcPr>
          <w:p>
            <w:pPr>
              <w:pStyle w:val="2"/>
              <w:numPr>
                <w:ilvl w:val="0"/>
                <w:numId w:val="0"/>
              </w:numPr>
              <w:rPr>
                <w:rFonts w:hint="default"/>
                <w:color w:val="auto"/>
                <w:highlight w:val="none"/>
              </w:rPr>
            </w:pPr>
            <w:r>
              <w:rPr>
                <w:rFonts w:hint="default"/>
                <w:color w:val="auto"/>
                <w:highlight w:val="none"/>
              </w:rPr>
              <w:t>大学本科以上文化程度，熟悉镇海情况，有一定管理协调沟通能力。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809" w:type="dxa"/>
            <w:vAlign w:val="center"/>
          </w:tcPr>
          <w:p>
            <w:pPr>
              <w:pStyle w:val="2"/>
              <w:numPr>
                <w:ilvl w:val="0"/>
                <w:numId w:val="0"/>
              </w:numPr>
              <w:jc w:val="center"/>
              <w:rPr>
                <w:rFonts w:hint="default"/>
                <w:color w:val="auto"/>
                <w:highlight w:val="none"/>
              </w:rPr>
            </w:pPr>
            <w:r>
              <w:rPr>
                <w:rFonts w:hint="default"/>
                <w:color w:val="auto"/>
                <w:highlight w:val="none"/>
              </w:rPr>
              <w:t>2</w:t>
            </w:r>
          </w:p>
        </w:tc>
        <w:tc>
          <w:tcPr>
            <w:tcW w:w="1711" w:type="dxa"/>
            <w:vAlign w:val="center"/>
          </w:tcPr>
          <w:p>
            <w:pPr>
              <w:pStyle w:val="2"/>
              <w:numPr>
                <w:ilvl w:val="0"/>
                <w:numId w:val="0"/>
              </w:numPr>
              <w:jc w:val="center"/>
              <w:rPr>
                <w:rFonts w:hint="default"/>
                <w:color w:val="auto"/>
                <w:highlight w:val="none"/>
              </w:rPr>
            </w:pPr>
            <w:r>
              <w:rPr>
                <w:rFonts w:hint="default"/>
                <w:color w:val="auto"/>
                <w:highlight w:val="none"/>
              </w:rPr>
              <w:t>统计分析人员</w:t>
            </w:r>
          </w:p>
        </w:tc>
        <w:tc>
          <w:tcPr>
            <w:tcW w:w="1417" w:type="dxa"/>
            <w:vAlign w:val="center"/>
          </w:tcPr>
          <w:p>
            <w:pPr>
              <w:pStyle w:val="2"/>
              <w:numPr>
                <w:ilvl w:val="0"/>
                <w:numId w:val="0"/>
              </w:numPr>
              <w:jc w:val="center"/>
              <w:rPr>
                <w:rFonts w:hint="default"/>
                <w:color w:val="auto"/>
                <w:highlight w:val="none"/>
              </w:rPr>
            </w:pPr>
            <w:r>
              <w:rPr>
                <w:rFonts w:hint="default"/>
                <w:color w:val="auto"/>
                <w:highlight w:val="none"/>
              </w:rPr>
              <w:t>1名</w:t>
            </w:r>
          </w:p>
        </w:tc>
        <w:tc>
          <w:tcPr>
            <w:tcW w:w="5700" w:type="dxa"/>
            <w:vAlign w:val="center"/>
          </w:tcPr>
          <w:p>
            <w:pPr>
              <w:pStyle w:val="2"/>
              <w:numPr>
                <w:ilvl w:val="0"/>
                <w:numId w:val="0"/>
              </w:numPr>
              <w:rPr>
                <w:rFonts w:hint="default"/>
                <w:color w:val="auto"/>
                <w:highlight w:val="none"/>
              </w:rPr>
            </w:pPr>
            <w:r>
              <w:rPr>
                <w:rFonts w:hint="default"/>
                <w:color w:val="auto"/>
                <w:highlight w:val="none"/>
              </w:rPr>
              <w:t>大学本科以上文化程度，有一定文字功底，能熟练运用数据分析统计应用软件，能高质量完成各类检查报告。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809" w:type="dxa"/>
            <w:vAlign w:val="center"/>
          </w:tcPr>
          <w:p>
            <w:pPr>
              <w:pStyle w:val="2"/>
              <w:numPr>
                <w:ilvl w:val="0"/>
                <w:numId w:val="0"/>
              </w:numPr>
              <w:jc w:val="center"/>
              <w:rPr>
                <w:rFonts w:hint="default"/>
                <w:color w:val="auto"/>
                <w:highlight w:val="none"/>
              </w:rPr>
            </w:pPr>
            <w:r>
              <w:rPr>
                <w:rFonts w:hint="default"/>
                <w:color w:val="auto"/>
                <w:highlight w:val="none"/>
              </w:rPr>
              <w:t>3</w:t>
            </w:r>
          </w:p>
        </w:tc>
        <w:tc>
          <w:tcPr>
            <w:tcW w:w="1711" w:type="dxa"/>
            <w:vAlign w:val="center"/>
          </w:tcPr>
          <w:p>
            <w:pPr>
              <w:pStyle w:val="2"/>
              <w:numPr>
                <w:ilvl w:val="0"/>
                <w:numId w:val="0"/>
              </w:numPr>
              <w:jc w:val="center"/>
              <w:rPr>
                <w:rFonts w:hint="default"/>
                <w:color w:val="auto"/>
                <w:highlight w:val="none"/>
              </w:rPr>
            </w:pPr>
            <w:r>
              <w:rPr>
                <w:rFonts w:hint="default"/>
                <w:color w:val="auto"/>
                <w:highlight w:val="none"/>
              </w:rPr>
              <w:t>检查人员</w:t>
            </w:r>
          </w:p>
        </w:tc>
        <w:tc>
          <w:tcPr>
            <w:tcW w:w="1417" w:type="dxa"/>
            <w:vAlign w:val="center"/>
          </w:tcPr>
          <w:p>
            <w:pPr>
              <w:pStyle w:val="2"/>
              <w:numPr>
                <w:ilvl w:val="0"/>
                <w:numId w:val="0"/>
              </w:numPr>
              <w:jc w:val="center"/>
              <w:rPr>
                <w:rFonts w:hint="default"/>
                <w:color w:val="auto"/>
                <w:highlight w:val="none"/>
              </w:rPr>
            </w:pPr>
            <w:r>
              <w:rPr>
                <w:rFonts w:hint="default"/>
                <w:color w:val="auto"/>
                <w:highlight w:val="none"/>
                <w:lang w:val="en-US" w:eastAsia="zh-CN"/>
              </w:rPr>
              <w:t>6</w:t>
            </w:r>
            <w:r>
              <w:rPr>
                <w:rFonts w:hint="default"/>
                <w:color w:val="auto"/>
                <w:highlight w:val="none"/>
              </w:rPr>
              <w:t>名</w:t>
            </w:r>
          </w:p>
        </w:tc>
        <w:tc>
          <w:tcPr>
            <w:tcW w:w="5700" w:type="dxa"/>
            <w:vAlign w:val="center"/>
          </w:tcPr>
          <w:p>
            <w:pPr>
              <w:pStyle w:val="2"/>
              <w:numPr>
                <w:ilvl w:val="0"/>
                <w:numId w:val="0"/>
              </w:numPr>
              <w:rPr>
                <w:rFonts w:hint="default"/>
                <w:color w:val="auto"/>
                <w:highlight w:val="none"/>
              </w:rPr>
            </w:pPr>
            <w:r>
              <w:rPr>
                <w:rFonts w:hint="default"/>
                <w:color w:val="auto"/>
                <w:highlight w:val="none"/>
              </w:rPr>
              <w:t>大专以上文化水平,有经验的社会调查人员，能适应早晚班工作时间，能适应室外工作条件，有较强的沟通能力。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9637" w:type="dxa"/>
            <w:gridSpan w:val="4"/>
            <w:vAlign w:val="center"/>
          </w:tcPr>
          <w:p>
            <w:pPr>
              <w:pStyle w:val="2"/>
              <w:numPr>
                <w:ilvl w:val="0"/>
                <w:numId w:val="0"/>
              </w:numPr>
              <w:rPr>
                <w:rFonts w:hint="default"/>
                <w:color w:val="auto"/>
                <w:highlight w:val="none"/>
              </w:rPr>
            </w:pPr>
            <w:r>
              <w:rPr>
                <w:rFonts w:hint="default"/>
                <w:color w:val="auto"/>
                <w:highlight w:val="none"/>
              </w:rPr>
              <w:t>备注：</w:t>
            </w:r>
          </w:p>
          <w:p>
            <w:pPr>
              <w:pStyle w:val="2"/>
              <w:numPr>
                <w:ilvl w:val="0"/>
                <w:numId w:val="0"/>
              </w:numPr>
              <w:rPr>
                <w:rFonts w:hint="default"/>
                <w:b/>
                <w:bCs/>
                <w:color w:val="auto"/>
                <w:highlight w:val="none"/>
              </w:rPr>
            </w:pPr>
            <w:r>
              <w:rPr>
                <w:rFonts w:hint="default"/>
                <w:b/>
                <w:bCs/>
                <w:color w:val="auto"/>
                <w:highlight w:val="none"/>
              </w:rPr>
              <w:t>*项目经理必须是供应商现有的正式在职员工，投标文件中提供拟投入本项目的项目经理学历证书复印件、身份证复印件及近开标前三个月任意一个月的社保证明。</w:t>
            </w:r>
          </w:p>
          <w:p>
            <w:pPr>
              <w:pStyle w:val="2"/>
              <w:numPr>
                <w:ilvl w:val="0"/>
                <w:numId w:val="0"/>
              </w:numPr>
              <w:rPr>
                <w:rFonts w:hint="default"/>
                <w:color w:val="auto"/>
                <w:highlight w:val="none"/>
              </w:rPr>
            </w:pPr>
            <w:r>
              <w:rPr>
                <w:rFonts w:hint="default"/>
                <w:color w:val="auto"/>
                <w:highlight w:val="none"/>
              </w:rPr>
              <w:t>中标后10日内，中标人需完成项目队伍的组建并提供所有人员身份证复印件且需由采购人审核通过。</w:t>
            </w:r>
          </w:p>
          <w:p>
            <w:pPr>
              <w:pStyle w:val="2"/>
              <w:numPr>
                <w:ilvl w:val="0"/>
                <w:numId w:val="0"/>
              </w:numPr>
              <w:rPr>
                <w:rFonts w:hint="default"/>
                <w:color w:val="auto"/>
                <w:highlight w:val="none"/>
              </w:rPr>
            </w:pPr>
            <w:r>
              <w:rPr>
                <w:rFonts w:hint="default"/>
                <w:b/>
                <w:bCs/>
                <w:color w:val="auto"/>
                <w:highlight w:val="none"/>
              </w:rPr>
              <w:t>*本表中所列岗位，可按项目实际需要增设，但供应商必须承诺不得低于本项目的最低数量和资格要求配备，否则其投标文件作无效标处理。</w:t>
            </w:r>
          </w:p>
        </w:tc>
      </w:tr>
    </w:tbl>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2.5.1</w:t>
      </w:r>
      <w:r>
        <w:rPr>
          <w:rFonts w:hint="default" w:ascii="Times New Roman" w:hAnsi="Times New Roman" w:eastAsia="宋体" w:cs="Times New Roman"/>
          <w:color w:val="auto"/>
          <w:szCs w:val="21"/>
          <w:highlight w:val="none"/>
        </w:rPr>
        <w:t>项目组成员（含项目经理）一经确定，不得随意更换，如确实需要更换的，需书面提出并经采购人同意。</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2.5.2</w:t>
      </w:r>
      <w:r>
        <w:rPr>
          <w:rFonts w:hint="default" w:ascii="Times New Roman" w:hAnsi="Times New Roman" w:eastAsia="宋体" w:cs="Times New Roman"/>
          <w:color w:val="auto"/>
          <w:szCs w:val="21"/>
          <w:highlight w:val="none"/>
        </w:rPr>
        <w:t>投标人须建立独立部门负责评估考核工作，并配置固定的人员，项目组成员（含项目经理）数量须不少于</w:t>
      </w:r>
      <w:r>
        <w:rPr>
          <w:rFonts w:hint="default"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人。</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2.5.3</w:t>
      </w:r>
      <w:r>
        <w:rPr>
          <w:rFonts w:hint="default" w:ascii="Times New Roman" w:hAnsi="Times New Roman" w:eastAsia="宋体" w:cs="Times New Roman"/>
          <w:color w:val="auto"/>
          <w:szCs w:val="21"/>
          <w:highlight w:val="none"/>
        </w:rPr>
        <w:t>对项目组成员（含项目经理）实行统一培训工作，持证上岗，明确岗位职责、要求，并按相应的技术要求达到熟练操作。</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2.5.4</w:t>
      </w:r>
      <w:r>
        <w:rPr>
          <w:rFonts w:hint="default" w:ascii="Times New Roman" w:hAnsi="Times New Roman" w:eastAsia="宋体" w:cs="Times New Roman"/>
          <w:color w:val="auto"/>
          <w:szCs w:val="21"/>
          <w:highlight w:val="none"/>
        </w:rPr>
        <w:t>项目组成员（含项目经理）需遵纪守法、品行端正、举止文明，身体健康。</w:t>
      </w:r>
    </w:p>
    <w:p>
      <w:pPr>
        <w:spacing w:line="360" w:lineRule="auto"/>
        <w:ind w:firstLine="422" w:firstLineChars="200"/>
        <w:rPr>
          <w:rFonts w:hint="default"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2.6</w:t>
      </w:r>
      <w:r>
        <w:rPr>
          <w:rFonts w:hint="default" w:ascii="Times New Roman" w:hAnsi="Times New Roman" w:eastAsia="宋体" w:cs="Times New Roman"/>
          <w:b/>
          <w:bCs/>
          <w:color w:val="auto"/>
          <w:szCs w:val="21"/>
          <w:highlight w:val="none"/>
        </w:rPr>
        <w:t>设施设备要求</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配备必要的外出检查设备和日常办公设备，其中检查组需要配置必须的考核设施设备，统计、信息分析评估人员组需要配备日常办公设备等，满足项目使用要求。涉及设施设备的所有费用由中标人承担。</w:t>
      </w:r>
    </w:p>
    <w:p>
      <w:pPr>
        <w:spacing w:line="360" w:lineRule="auto"/>
        <w:ind w:firstLine="422" w:firstLineChars="200"/>
        <w:rPr>
          <w:rFonts w:hint="default"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2.7</w:t>
      </w:r>
      <w:r>
        <w:rPr>
          <w:rFonts w:hint="default" w:ascii="Times New Roman" w:hAnsi="Times New Roman" w:eastAsia="宋体" w:cs="Times New Roman"/>
          <w:b/>
          <w:bCs/>
          <w:color w:val="auto"/>
          <w:szCs w:val="21"/>
          <w:highlight w:val="none"/>
        </w:rPr>
        <w:t>临时任务要求</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在项目执行过程中，中标人能够根据采购人要求参加必要的临时或专项检查任务，如上级对镇海区专项检查任务、重大活动等。相关工作视同完成相应工作量的日常服务内容。</w:t>
      </w:r>
    </w:p>
    <w:p>
      <w:pPr>
        <w:spacing w:line="360" w:lineRule="auto"/>
        <w:ind w:firstLine="422" w:firstLineChars="200"/>
        <w:rPr>
          <w:rFonts w:hint="default"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2.8</w:t>
      </w:r>
      <w:r>
        <w:rPr>
          <w:rFonts w:hint="default" w:ascii="Times New Roman" w:hAnsi="Times New Roman" w:eastAsia="宋体" w:cs="Times New Roman"/>
          <w:b/>
          <w:bCs/>
          <w:color w:val="auto"/>
          <w:szCs w:val="21"/>
          <w:highlight w:val="none"/>
        </w:rPr>
        <w:t>成果及质量要求</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2.8.1</w:t>
      </w:r>
      <w:r>
        <w:rPr>
          <w:rFonts w:hint="default" w:ascii="Times New Roman" w:hAnsi="Times New Roman" w:eastAsia="宋体" w:cs="Times New Roman"/>
          <w:color w:val="auto"/>
          <w:szCs w:val="21"/>
          <w:highlight w:val="none"/>
        </w:rPr>
        <w:t>按采购人整体思路和要求，严格依据相关标准，客观、公正、规范地组织实施现场考核。</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2.8.2</w:t>
      </w:r>
      <w:r>
        <w:rPr>
          <w:rFonts w:hint="default" w:ascii="Times New Roman" w:hAnsi="Times New Roman" w:eastAsia="宋体" w:cs="Times New Roman"/>
          <w:color w:val="auto"/>
          <w:szCs w:val="21"/>
          <w:highlight w:val="none"/>
        </w:rPr>
        <w:t>按采购人指定日期和要求组织实施考核工作，并及时统计、分析考核数据。每次检查结束后，由项目组质控人员对考核情况进行数据汇总和图片信息整理，统计分析人员对数据进行统计，由报告编写人编制检查报告，报告应能够全面如实的反映考核结果，保证考核的客观、公正性。</w:t>
      </w:r>
    </w:p>
    <w:p>
      <w:pPr>
        <w:spacing w:line="360" w:lineRule="auto"/>
        <w:ind w:firstLine="420" w:firstLineChars="20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2.8.3</w:t>
      </w:r>
      <w:r>
        <w:rPr>
          <w:rFonts w:hint="default" w:ascii="Times New Roman" w:hAnsi="Times New Roman" w:eastAsia="宋体" w:cs="Times New Roman"/>
          <w:color w:val="auto"/>
          <w:szCs w:val="21"/>
          <w:highlight w:val="none"/>
        </w:rPr>
        <w:t>中标人提交的现场检查的原始资料并出具考核汇总情况应包括：</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一份总体情况通报（包括总体情况、工作亮点、存在问题及相关建议对策等）；</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一份考核数据统计表（各街道镇排名，各社区、行政村排名）；各点位问题照片及评分表，扣分要有依据，证据充足。</w:t>
      </w:r>
    </w:p>
    <w:p>
      <w:pPr>
        <w:spacing w:line="360" w:lineRule="auto"/>
        <w:ind w:firstLine="422" w:firstLineChars="200"/>
        <w:rPr>
          <w:rFonts w:hint="default"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2.9</w:t>
      </w:r>
      <w:r>
        <w:rPr>
          <w:rFonts w:hint="default" w:ascii="Times New Roman" w:hAnsi="Times New Roman" w:eastAsia="宋体" w:cs="Times New Roman"/>
          <w:b/>
          <w:bCs/>
          <w:color w:val="auto"/>
          <w:szCs w:val="21"/>
          <w:highlight w:val="none"/>
        </w:rPr>
        <w:t>保密事宜</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中标人测评所取得的信息、数据处理结果、数据报告等相关信息须保密，交于采购人相关数据、报告且验收合格。</w:t>
      </w:r>
    </w:p>
    <w:p>
      <w:pPr>
        <w:spacing w:line="360" w:lineRule="auto"/>
        <w:ind w:firstLine="422" w:firstLineChars="200"/>
        <w:rPr>
          <w:rFonts w:hint="default"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2.10</w:t>
      </w:r>
      <w:r>
        <w:rPr>
          <w:rFonts w:hint="default" w:ascii="Times New Roman" w:hAnsi="Times New Roman" w:eastAsia="宋体" w:cs="Times New Roman"/>
          <w:b/>
          <w:bCs/>
          <w:color w:val="auto"/>
          <w:szCs w:val="21"/>
          <w:highlight w:val="none"/>
        </w:rPr>
        <w:t>安全生产、劳动保障</w:t>
      </w:r>
    </w:p>
    <w:p>
      <w:pPr>
        <w:spacing w:line="360" w:lineRule="auto"/>
        <w:ind w:firstLine="420" w:firstLineChars="200"/>
        <w:rPr>
          <w:rFonts w:hint="default"/>
          <w:color w:val="auto"/>
          <w:highlight w:val="none"/>
        </w:rPr>
      </w:pPr>
      <w:r>
        <w:rPr>
          <w:rFonts w:hint="default" w:ascii="Times New Roman" w:hAnsi="Times New Roman" w:eastAsia="宋体" w:cs="Times New Roman"/>
          <w:color w:val="auto"/>
          <w:szCs w:val="21"/>
          <w:highlight w:val="none"/>
        </w:rPr>
        <w:t>人员由中标人自行管理，应按照规定签订劳动合同并为其购买意外伤害险。中标人应组织对相关作业人员的上岗培训和安全教育，保证其人身、财产安全。</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default" w:ascii="Times New Roman" w:hAnsi="Times New Roman" w:cs="Times New Roman"/>
          <w:b/>
          <w:bCs/>
          <w:color w:val="auto"/>
          <w:szCs w:val="21"/>
          <w:highlight w:val="none"/>
        </w:rPr>
      </w:pPr>
    </w:p>
    <w:p>
      <w:pPr>
        <w:pStyle w:val="26"/>
        <w:rPr>
          <w:rFonts w:hint="default" w:ascii="Times New Roman" w:hAnsi="Times New Roman" w:cs="Times New Roman"/>
          <w:color w:val="auto"/>
          <w:highlight w:val="none"/>
          <w:lang w:val="en-US" w:eastAsia="zh-CN"/>
        </w:rPr>
        <w:sectPr>
          <w:headerReference r:id="rId5" w:type="default"/>
          <w:footerReference r:id="rId6" w:type="default"/>
          <w:pgSz w:w="11906" w:h="16838"/>
          <w:pgMar w:top="1440" w:right="1803" w:bottom="1440" w:left="1803" w:header="851" w:footer="850" w:gutter="0"/>
          <w:pgNumType w:fmt="decimal"/>
          <w:cols w:space="720" w:num="1"/>
          <w:docGrid w:linePitch="312" w:charSpace="0"/>
        </w:sectPr>
      </w:pPr>
      <w:bookmarkStart w:id="35" w:name="_Toc30079"/>
    </w:p>
    <w:p>
      <w:pPr>
        <w:spacing w:line="400" w:lineRule="exact"/>
        <w:ind w:firstLine="3070" w:firstLineChars="1274"/>
        <w:outlineLvl w:val="0"/>
        <w:rPr>
          <w:rFonts w:hint="default" w:ascii="Times New Roman" w:hAnsi="Times New Roman" w:cs="Times New Roman"/>
          <w:b/>
          <w:color w:val="auto"/>
          <w:sz w:val="24"/>
          <w:highlight w:val="none"/>
        </w:rPr>
      </w:pPr>
      <w:bookmarkStart w:id="36" w:name="_Toc10742"/>
      <w:bookmarkStart w:id="37" w:name="_Toc14025"/>
      <w:bookmarkStart w:id="38" w:name="_Toc24522"/>
      <w:bookmarkStart w:id="39" w:name="_Toc15945"/>
      <w:r>
        <w:rPr>
          <w:rFonts w:hint="default" w:ascii="Times New Roman" w:hAnsi="Times New Roman" w:cs="Times New Roman"/>
          <w:b/>
          <w:color w:val="auto"/>
          <w:sz w:val="24"/>
          <w:highlight w:val="none"/>
        </w:rPr>
        <w:t>第三章 投标人须知</w:t>
      </w:r>
      <w:bookmarkEnd w:id="31"/>
      <w:bookmarkEnd w:id="32"/>
      <w:bookmarkEnd w:id="33"/>
      <w:bookmarkEnd w:id="35"/>
      <w:bookmarkEnd w:id="36"/>
      <w:bookmarkEnd w:id="37"/>
      <w:bookmarkEnd w:id="38"/>
      <w:bookmarkEnd w:id="39"/>
    </w:p>
    <w:p>
      <w:pPr>
        <w:snapToGrid w:val="0"/>
        <w:spacing w:before="120" w:beforeLines="50" w:after="120" w:afterLines="50"/>
        <w:ind w:left="238"/>
        <w:jc w:val="center"/>
        <w:rPr>
          <w:rFonts w:hint="default" w:ascii="Times New Roman" w:hAnsi="Times New Roman" w:cs="Times New Roman"/>
          <w:b/>
          <w:color w:val="auto"/>
          <w:szCs w:val="28"/>
          <w:highlight w:val="none"/>
        </w:rPr>
      </w:pPr>
      <w:r>
        <w:rPr>
          <w:rFonts w:hint="default" w:ascii="Times New Roman" w:hAnsi="Times New Roman" w:cs="Times New Roman"/>
          <w:b/>
          <w:color w:val="auto"/>
          <w:szCs w:val="28"/>
          <w:highlight w:val="none"/>
        </w:rPr>
        <w:t>前附表</w:t>
      </w:r>
    </w:p>
    <w:tbl>
      <w:tblPr>
        <w:tblStyle w:val="38"/>
        <w:tblW w:w="84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7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72" w:type="dxa"/>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7763" w:type="dxa"/>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内容、要求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7763" w:type="dxa"/>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r>
              <w:rPr>
                <w:rFonts w:hint="eastAsia" w:cs="Times New Roman"/>
                <w:color w:val="auto"/>
                <w:szCs w:val="21"/>
                <w:highlight w:val="none"/>
                <w:lang w:eastAsia="zh-CN"/>
              </w:rPr>
              <w:t>2024年城乡文明程度指数第三方专业测评服务项目</w:t>
            </w:r>
            <w:r>
              <w:rPr>
                <w:rFonts w:hint="default" w:ascii="Times New Roman" w:hAnsi="Times New Roman" w:cs="Times New Roman"/>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7763" w:type="dxa"/>
            <w:noWrap w:val="0"/>
            <w:vAlign w:val="center"/>
          </w:tcPr>
          <w:p>
            <w:pPr>
              <w:pStyle w:val="22"/>
              <w:spacing w:before="0" w:beforeLines="0" w:after="0" w:afterLine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采购数量及单位：详见第二章《招标需求》。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7763" w:type="dxa"/>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投标报价及费用：</w:t>
            </w:r>
          </w:p>
          <w:p>
            <w:pPr>
              <w:numPr>
                <w:ilvl w:val="0"/>
                <w:numId w:val="0"/>
              </w:num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w:t>
            </w:r>
            <w:r>
              <w:rPr>
                <w:rFonts w:hint="default" w:ascii="Times New Roman" w:hAnsi="Times New Roman" w:eastAsia="宋体" w:cs="Times New Roman"/>
                <w:color w:val="auto"/>
                <w:szCs w:val="21"/>
                <w:highlight w:val="none"/>
              </w:rPr>
              <w:t>本项目投标报价应以人民币报价。投标报价应包括本次服务所需的所有人工费（包含工资、意外保险、社保、税费等）、食宿费用、各项管理费、福利、津贴、加班费、交通费、相关资料费、培训费、税金、中标服务费等完成合同所需的一切本身或不可或缺的所有工作</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 w:val="21"/>
                <w:highlight w:val="none"/>
                <w:lang w:val="en-US" w:eastAsia="zh-CN"/>
              </w:rPr>
              <w:t>中标价格一经确定，除采购人要求的追加或变动项目外，不再另行支付任何费用</w:t>
            </w:r>
            <w:r>
              <w:rPr>
                <w:rFonts w:hint="default" w:ascii="Times New Roman" w:hAnsi="Times New Roman" w:cs="Times New Roman"/>
                <w:color w:val="auto"/>
                <w:szCs w:val="21"/>
                <w:highlight w:val="none"/>
              </w:rPr>
              <w:t>。</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*2、本项目</w:t>
            </w:r>
            <w:r>
              <w:rPr>
                <w:rFonts w:hint="default" w:ascii="Times New Roman" w:hAnsi="Times New Roman" w:cs="Times New Roman"/>
                <w:b/>
                <w:bCs/>
                <w:color w:val="auto"/>
                <w:szCs w:val="21"/>
                <w:highlight w:val="none"/>
              </w:rPr>
              <w:t>最高限价详见第一章《公开招标采购公告》</w:t>
            </w:r>
            <w:r>
              <w:rPr>
                <w:rFonts w:hint="default" w:ascii="Times New Roman" w:hAnsi="Times New Roman" w:cs="Times New Roman"/>
                <w:b/>
                <w:color w:val="auto"/>
                <w:szCs w:val="21"/>
                <w:highlight w:val="none"/>
              </w:rPr>
              <w:t>。投标总价超过最高限价均作无效标处理。</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3、不论投标结果如何，投标人均应自行承担所有与投标有关的全部费用。</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4、中标服务费：本采购代理公司参照</w:t>
            </w:r>
            <w:r>
              <w:rPr>
                <w:rFonts w:hint="default" w:ascii="Times New Roman" w:hAnsi="Times New Roman" w:cs="Times New Roman"/>
                <w:color w:val="auto"/>
                <w:szCs w:val="21"/>
                <w:highlight w:val="none"/>
                <w:lang w:val="en-US" w:eastAsia="zh-CN"/>
              </w:rPr>
              <w:t>国家发改委发改办价格【2003】857号通知和国家计委计价格【2002】1980号文件标准的服务费率，并根据宁波市中介超市网就本项目竞报价格人民币6000元向中标人收取中标服务费</w:t>
            </w:r>
            <w:r>
              <w:rPr>
                <w:rFonts w:hint="default" w:ascii="Times New Roman" w:hAnsi="Times New Roman" w:cs="Times New Roman"/>
                <w:color w:val="auto"/>
                <w:szCs w:val="21"/>
                <w:highlight w:val="none"/>
              </w:rPr>
              <w:t>。</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有关本项目的中标服务费汇入以下账户</w:t>
            </w:r>
          </w:p>
          <w:p>
            <w:pPr>
              <w:spacing w:line="400" w:lineRule="exact"/>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开户名称：</w:t>
            </w:r>
            <w:r>
              <w:rPr>
                <w:rFonts w:hint="default" w:ascii="Times New Roman" w:hAnsi="Times New Roman" w:cs="Times New Roman"/>
                <w:color w:val="auto"/>
                <w:szCs w:val="21"/>
                <w:highlight w:val="none"/>
                <w:lang w:eastAsia="zh-CN"/>
              </w:rPr>
              <w:t>科信联合工程咨询有限公司</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开户银行：中信银行宁波高新区支行</w:t>
            </w:r>
          </w:p>
          <w:p>
            <w:pPr>
              <w:spacing w:line="400" w:lineRule="exact"/>
              <w:ind w:firstLine="420" w:firstLineChars="200"/>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rPr>
              <w:t>账号：7550110195700003212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7763" w:type="dxa"/>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现场踏勘（如有）：详见第二章《招标需求》。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7763" w:type="dxa"/>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演示时间及地点（如有）：详见第二章《招标需求》。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7763" w:type="dxa"/>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投标文件组成：本项目实行网上投标，供应商应准备以下投标文件：</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（1）供应商于“政采云”上提供电子投标文件。</w:t>
            </w:r>
          </w:p>
          <w:p>
            <w:pPr>
              <w:spacing w:line="400" w:lineRule="exact"/>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（2）以U盘形式提供的备份电子投标文件数量1份（不作强制要求，投标人自行决定是否提供）。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7763" w:type="dxa"/>
            <w:noWrap w:val="0"/>
            <w:vAlign w:val="center"/>
          </w:tcPr>
          <w:p>
            <w:pPr>
              <w:autoSpaceDE w:val="0"/>
              <w:autoSpaceDN w:val="0"/>
              <w:spacing w:line="400" w:lineRule="exac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pacing w:val="-2"/>
                <w:szCs w:val="21"/>
                <w:highlight w:val="none"/>
              </w:rPr>
              <w:t>投标截止时间及地点：</w:t>
            </w:r>
            <w:r>
              <w:rPr>
                <w:rFonts w:hint="default" w:ascii="Times New Roman" w:hAnsi="Times New Roman" w:cs="Times New Roman"/>
                <w:color w:val="auto"/>
                <w:highlight w:val="none"/>
              </w:rPr>
              <w:t>详见招标文件第一章《公开招标采购公告》。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7763" w:type="dxa"/>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开标时间及地点：</w:t>
            </w:r>
            <w:r>
              <w:rPr>
                <w:rFonts w:hint="default" w:ascii="Times New Roman" w:hAnsi="Times New Roman" w:cs="Times New Roman"/>
                <w:color w:val="auto"/>
                <w:highlight w:val="none"/>
              </w:rPr>
              <w:t>详见招标文件第一章《公开招标采购公告》。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7763" w:type="dxa"/>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评标办法及评分标准：详见第四章《评标办法及评分标准》。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7763" w:type="dxa"/>
            <w:noWrap w:val="0"/>
            <w:vAlign w:val="center"/>
          </w:tcPr>
          <w:p>
            <w:pPr>
              <w:autoSpaceDE w:val="0"/>
              <w:autoSpaceDN w:val="0"/>
              <w:spacing w:line="400" w:lineRule="exac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中标结果公示：评标结束后，评标结果公示于浙江政府采购网、宁波市政府采购网、宁波</w:t>
            </w:r>
            <w:r>
              <w:rPr>
                <w:rFonts w:hint="default" w:ascii="Times New Roman" w:hAnsi="Times New Roman" w:cs="Times New Roman"/>
                <w:color w:val="auto"/>
                <w:szCs w:val="21"/>
                <w:highlight w:val="none"/>
                <w:lang w:val="en-US" w:eastAsia="zh-CN"/>
              </w:rPr>
              <w:t>市</w:t>
            </w:r>
            <w:r>
              <w:rPr>
                <w:rFonts w:hint="default" w:ascii="Times New Roman" w:hAnsi="Times New Roman" w:cs="Times New Roman"/>
                <w:color w:val="auto"/>
                <w:szCs w:val="21"/>
                <w:highlight w:val="none"/>
              </w:rPr>
              <w:t>公共资源交易</w:t>
            </w:r>
            <w:r>
              <w:rPr>
                <w:rFonts w:hint="default" w:ascii="Times New Roman" w:hAnsi="Times New Roman" w:cs="Times New Roman"/>
                <w:color w:val="auto"/>
                <w:szCs w:val="21"/>
                <w:highlight w:val="none"/>
                <w:lang w:val="en-US" w:eastAsia="zh-CN"/>
              </w:rPr>
              <w:t>电子服务系统V2.0</w:t>
            </w:r>
            <w:r>
              <w:rPr>
                <w:rFonts w:hint="default" w:ascii="Times New Roman" w:hAnsi="Times New Roman" w:cs="Times New Roman"/>
                <w:color w:val="auto"/>
                <w:szCs w:val="21"/>
                <w:highlight w:val="none"/>
              </w:rPr>
              <w:t>和</w:t>
            </w:r>
            <w:r>
              <w:rPr>
                <w:rFonts w:hint="default" w:ascii="Times New Roman" w:hAnsi="Times New Roman" w:cs="Times New Roman"/>
                <w:color w:val="auto"/>
                <w:szCs w:val="21"/>
                <w:highlight w:val="none"/>
                <w:lang w:eastAsia="zh-CN"/>
              </w:rPr>
              <w:t>科信联合工程咨询有限公司</w:t>
            </w:r>
            <w:r>
              <w:rPr>
                <w:rFonts w:hint="default" w:ascii="Times New Roman" w:hAnsi="Times New Roman" w:cs="Times New Roman"/>
                <w:color w:val="auto"/>
                <w:szCs w:val="21"/>
                <w:highlight w:val="none"/>
              </w:rPr>
              <w:t>网站。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7763" w:type="dxa"/>
            <w:noWrap w:val="0"/>
            <w:vAlign w:val="center"/>
          </w:tcPr>
          <w:p>
            <w:pPr>
              <w:autoSpaceDE w:val="0"/>
              <w:autoSpaceDN w:val="0"/>
              <w:spacing w:line="400" w:lineRule="exac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签订合同时间：中标通知书发出后30日内。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7763" w:type="dxa"/>
            <w:noWrap w:val="0"/>
            <w:vAlign w:val="center"/>
          </w:tcPr>
          <w:p>
            <w:pPr>
              <w:autoSpaceDE w:val="0"/>
              <w:autoSpaceDN w:val="0"/>
              <w:spacing w:line="400" w:lineRule="exac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采购资金来源：财政资金。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szCs w:val="21"/>
                <w:highlight w:val="none"/>
              </w:rPr>
              <w:t>13</w:t>
            </w:r>
          </w:p>
        </w:tc>
        <w:tc>
          <w:tcPr>
            <w:tcW w:w="7763" w:type="dxa"/>
            <w:noWrap w:val="0"/>
            <w:vAlign w:val="center"/>
          </w:tcPr>
          <w:p>
            <w:pPr>
              <w:autoSpaceDE w:val="0"/>
              <w:autoSpaceDN w:val="0"/>
              <w:spacing w:line="400" w:lineRule="exac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投标文件有效期：自投标截止之日起90天。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*14</w:t>
            </w:r>
          </w:p>
        </w:tc>
        <w:tc>
          <w:tcPr>
            <w:tcW w:w="7763" w:type="dxa"/>
            <w:noWrap w:val="0"/>
            <w:vAlign w:val="center"/>
          </w:tcPr>
          <w:p>
            <w:pPr>
              <w:autoSpaceDE w:val="0"/>
              <w:autoSpaceDN w:val="0"/>
              <w:spacing w:line="400" w:lineRule="exac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w:t>
            </w:r>
          </w:p>
        </w:tc>
        <w:tc>
          <w:tcPr>
            <w:tcW w:w="7763" w:type="dxa"/>
            <w:noWrap w:val="0"/>
            <w:vAlign w:val="center"/>
          </w:tcPr>
          <w:p>
            <w:pPr>
              <w:autoSpaceDE w:val="0"/>
              <w:autoSpaceDN w:val="0"/>
              <w:spacing w:line="400" w:lineRule="exac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解释：本招标文件的解释权属于代理机构。</w:t>
            </w:r>
          </w:p>
        </w:tc>
      </w:tr>
    </w:tbl>
    <w:p>
      <w:pPr>
        <w:pStyle w:val="22"/>
        <w:snapToGrid w:val="0"/>
        <w:spacing w:before="120" w:beforeLines="0" w:after="120" w:afterLines="0" w:line="240" w:lineRule="auto"/>
        <w:rPr>
          <w:rFonts w:hint="default" w:ascii="Times New Roman" w:hAnsi="Times New Roman" w:cs="Times New Roman"/>
          <w:color w:val="auto"/>
          <w:highlight w:val="none"/>
        </w:rPr>
      </w:pPr>
    </w:p>
    <w:p>
      <w:pPr>
        <w:pStyle w:val="22"/>
        <w:spacing w:before="0" w:beforeLines="0" w:after="0" w:afterLine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 xml:space="preserve">    </w:t>
      </w:r>
    </w:p>
    <w:p>
      <w:pPr>
        <w:pStyle w:val="22"/>
        <w:spacing w:before="0" w:beforeLines="0" w:after="0" w:afterLines="0" w:line="36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br w:type="page"/>
      </w:r>
      <w:r>
        <w:rPr>
          <w:rFonts w:hint="default" w:ascii="Times New Roman" w:hAnsi="Times New Roman" w:cs="Times New Roman"/>
          <w:b/>
          <w:color w:val="auto"/>
          <w:sz w:val="21"/>
          <w:szCs w:val="21"/>
          <w:highlight w:val="none"/>
        </w:rPr>
        <w:t>一、总则</w:t>
      </w:r>
    </w:p>
    <w:p>
      <w:pPr>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 xml:space="preserve">   （一）适用范围</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本招标文件适用于本项目的招标、投标、评标、定标、验收、合同履约、付款等行为（法律、法规另有规定的，从其规定）。</w:t>
      </w:r>
    </w:p>
    <w:p>
      <w:pPr>
        <w:spacing w:line="360" w:lineRule="auto"/>
        <w:ind w:firstLine="310" w:firstLineChars="147"/>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（二）定义</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1.“采购人”系指</w:t>
      </w:r>
      <w:r>
        <w:rPr>
          <w:rFonts w:hint="eastAsia" w:cs="Times New Roman"/>
          <w:color w:val="auto"/>
          <w:szCs w:val="21"/>
          <w:highlight w:val="none"/>
          <w:lang w:eastAsia="zh-CN"/>
        </w:rPr>
        <w:t>中国共产党宁波市镇海区委员会宣传部</w:t>
      </w:r>
      <w:r>
        <w:rPr>
          <w:rFonts w:hint="default" w:ascii="Times New Roman" w:hAnsi="Times New Roman" w:cs="Times New Roman"/>
          <w:color w:val="auto"/>
          <w:szCs w:val="21"/>
          <w:highlight w:val="none"/>
          <w:lang w:eastAsia="zh-CN"/>
        </w:rPr>
        <w:t> </w:t>
      </w:r>
      <w:r>
        <w:rPr>
          <w:rFonts w:hint="default" w:ascii="Times New Roman" w:hAnsi="Times New Roman" w:cs="Times New Roman"/>
          <w:color w:val="auto"/>
          <w:szCs w:val="21"/>
          <w:highlight w:val="none"/>
        </w:rPr>
        <w:t>。</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2.“投标人”系指向采购人提交投标文件的单位</w:t>
      </w:r>
      <w:r>
        <w:rPr>
          <w:rFonts w:hint="default" w:ascii="Times New Roman" w:hAnsi="Times New Roman" w:cs="Times New Roman"/>
          <w:color w:val="auto"/>
          <w:szCs w:val="21"/>
          <w:highlight w:val="none"/>
          <w:lang w:val="en-US" w:eastAsia="zh-CN"/>
        </w:rPr>
        <w:t>或个人</w:t>
      </w:r>
      <w:r>
        <w:rPr>
          <w:rFonts w:hint="default" w:ascii="Times New Roman" w:hAnsi="Times New Roman" w:cs="Times New Roman"/>
          <w:color w:val="auto"/>
          <w:szCs w:val="21"/>
          <w:highlight w:val="none"/>
        </w:rPr>
        <w:t>。</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3.“产品”系指投标人按招标文件规定，须向采购人提供的一切设备、保险、税金、备品备件、工具、手册及其它有关技术资料和材料。</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4.“服务”系指招标文件规定投标人须承担的安装、调试、技术协助、校准、培训、技术指导、配合验收以及其他类似的服务。</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5.“项目”系指投标人按招标文件规定向采购人提供的产品和服务。</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6.“书面形式”包括信函、传真、电报等。</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7.“*”系指实质性要求条款，任何负偏离和未作实质性响应都将直接导致无效标。</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（三）招标方式</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本次招标采用公开招标方式进行。</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（四）投标委托</w:t>
      </w:r>
    </w:p>
    <w:p>
      <w:pPr>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须携带有效身份证件。如投标人代表不是该单位法定代表人，须有该单位的法定代表人出具的授权委托书（投标文件正本用原件，副本可用复印件）并在投标文件中提供投标人代表的社保部门出具的距离开标日近三个月任意一个月的社保证明，未按上述要求提供社保证明的作无效标处理。</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（五）投标费用</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不论投标结果如何，投标人均应自行承担所有与投标有关的全部费用（招标文件有相反规定除外）。</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（六）联合体投标</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本项目不接受联合体投标。</w:t>
      </w:r>
    </w:p>
    <w:p>
      <w:pPr>
        <w:spacing w:line="360" w:lineRule="auto"/>
        <w:ind w:firstLine="413" w:firstLineChars="196"/>
        <w:rPr>
          <w:rFonts w:hint="default" w:ascii="Times New Roman" w:hAnsi="Times New Roman" w:cs="Times New Roman"/>
          <w:b/>
          <w:color w:val="auto"/>
          <w:kern w:val="0"/>
          <w:szCs w:val="21"/>
          <w:highlight w:val="none"/>
        </w:rPr>
      </w:pPr>
      <w:r>
        <w:rPr>
          <w:rFonts w:hint="default" w:ascii="Times New Roman" w:hAnsi="Times New Roman" w:cs="Times New Roman"/>
          <w:b/>
          <w:color w:val="auto"/>
          <w:szCs w:val="21"/>
          <w:highlight w:val="none"/>
        </w:rPr>
        <w:t>（七）</w:t>
      </w:r>
      <w:r>
        <w:rPr>
          <w:rFonts w:hint="default" w:ascii="Times New Roman" w:hAnsi="Times New Roman" w:cs="Times New Roman"/>
          <w:b/>
          <w:color w:val="auto"/>
          <w:kern w:val="0"/>
          <w:szCs w:val="21"/>
          <w:highlight w:val="none"/>
        </w:rPr>
        <w:t>转包与分包</w:t>
      </w:r>
    </w:p>
    <w:p>
      <w:pPr>
        <w:spacing w:line="360" w:lineRule="auto"/>
        <w:ind w:firstLine="411" w:firstLineChars="196"/>
        <w:jc w:val="left"/>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本项目不允许转包，经采购人同意，允许合理分包。</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（八）特别说明</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1、投标人在投标活动中提供任何虚假材料，其投标无效，并报监管部门查处。</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2、单位负责人为同一人或者存在直接控股、管理关系的不同投标人，不得参加同一合同项下的政府采购活动。</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除单一来源采购项目外，为采购项目提供整体设计、规范编制或者项目管理、监理、检测等服务的投标人，不得再参加本项目投标。</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3、提供相同品牌产品且通过资格审查、符合性审查的不同投标人参加同一合同项下投标的，按一家投标人计算。</w:t>
      </w:r>
    </w:p>
    <w:p>
      <w:pPr>
        <w:pStyle w:val="22"/>
        <w:spacing w:before="0" w:beforeLines="0" w:after="0" w:afterLines="0"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若采用综合评分法进行评审的，评审后得分最高的同品牌投标人获得中标人推荐资格；评审得分相同的，由评审小组按照采购文件规定的方式确定一个投标人获得中标人的推荐资格，采购文件未规定的采取随机抽取的方式确定，其他同品牌投标人不作为中标候选人。</w:t>
      </w:r>
    </w:p>
    <w:p>
      <w:pPr>
        <w:pStyle w:val="22"/>
        <w:spacing w:before="0" w:beforeLines="0" w:after="0" w:afterLines="0"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非单一产品采购项目，投标人使用相同制造产品（相同制造产品是指采购文件中指定的“核心产品”）作为其项目的一部分，按一家投标人认定。</w:t>
      </w:r>
    </w:p>
    <w:p>
      <w:pPr>
        <w:pStyle w:val="22"/>
        <w:spacing w:before="0" w:beforeLines="0" w:after="0" w:afterLines="0"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4、其他组织或自然人参加响应的，由其他组织（营业执照上的所属姓名或相关负责人）或自然人签署的相关响应资料与本采购文件规定由法定代表人签署的的文件材料具有同等效力。</w:t>
      </w:r>
    </w:p>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kern w:val="0"/>
          <w:szCs w:val="21"/>
          <w:highlight w:val="none"/>
        </w:rPr>
        <w:t>（九）</w:t>
      </w:r>
      <w:r>
        <w:rPr>
          <w:rFonts w:hint="default" w:ascii="Times New Roman" w:hAnsi="Times New Roman" w:cs="Times New Roman"/>
          <w:b/>
          <w:color w:val="auto"/>
          <w:szCs w:val="21"/>
          <w:highlight w:val="none"/>
        </w:rPr>
        <w:t>关于分公司投标</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r>
        <w:rPr>
          <w:rFonts w:hint="default" w:ascii="Times New Roman" w:hAnsi="Times New Roman" w:eastAsia="宋体" w:cs="Times New Roman"/>
          <w:color w:val="auto"/>
          <w:sz w:val="21"/>
          <w:szCs w:val="21"/>
          <w:highlight w:val="none"/>
        </w:rPr>
        <w:t>分支机构参加投标的，由分支机构负责人签署的相关投标资料与本招标文件规定由法定代表人签署的的文件材料具有同等效力。</w:t>
      </w:r>
    </w:p>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（十）关于知识产权</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2、投标报价应包含所有应向所有权人支付的专利权、商标权或其它知识产权的一切相关费用。</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3、系统软件、通用软件必须是具有在中国境内的合法使用权或版权的正版软件，涉及到第三方提出侵权或知识产权的起诉及支付版税等费用由投标人承担所有责任及费用。</w:t>
      </w:r>
    </w:p>
    <w:p>
      <w:pPr>
        <w:pStyle w:val="22"/>
        <w:widowControl/>
        <w:spacing w:before="0" w:beforeLines="0" w:after="0" w:afterLines="0" w:line="360" w:lineRule="auto"/>
        <w:ind w:firstLine="422" w:firstLineChars="200"/>
        <w:jc w:val="left"/>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（十一）质疑和投诉</w:t>
      </w:r>
    </w:p>
    <w:p>
      <w:pPr>
        <w:pStyle w:val="22"/>
        <w:widowControl/>
        <w:spacing w:before="0" w:beforeLines="0" w:after="0" w:afterLines="0" w:line="360" w:lineRule="auto"/>
        <w:ind w:firstLine="420" w:firstLineChars="20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2"/>
        <w:widowControl/>
        <w:spacing w:before="0" w:beforeLines="0" w:after="0" w:afterLines="0" w:line="360" w:lineRule="auto"/>
        <w:ind w:firstLine="420" w:firstLineChars="20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2"/>
        <w:widowControl/>
        <w:spacing w:before="0" w:beforeLines="0" w:after="0" w:afterLines="0" w:line="360" w:lineRule="auto"/>
        <w:ind w:firstLine="420" w:firstLineChars="20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pStyle w:val="22"/>
        <w:widowControl/>
        <w:spacing w:before="0" w:beforeLines="0" w:after="0" w:afterLines="0" w:line="360" w:lineRule="auto"/>
        <w:ind w:firstLine="420" w:firstLineChars="20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2"/>
        <w:widowControl/>
        <w:spacing w:before="0" w:beforeLines="0" w:after="0" w:afterLines="0" w:line="360" w:lineRule="auto"/>
        <w:ind w:firstLine="420" w:firstLineChars="20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5、供应商对采购人或采购代理机构的质疑答复不满意或者采购人或采购代理机构未在规定时间内作出答复的，可以在答复期满后十五个工作日内向同级采购监管部门投诉。</w:t>
      </w:r>
    </w:p>
    <w:p>
      <w:pPr>
        <w:pStyle w:val="22"/>
        <w:spacing w:before="0" w:beforeLines="0" w:after="0" w:afterLines="0" w:line="360" w:lineRule="auto"/>
        <w:rPr>
          <w:rFonts w:hint="default" w:ascii="Times New Roman" w:hAnsi="Times New Roman" w:cs="Times New Roman"/>
          <w:b/>
          <w:color w:val="auto"/>
          <w:sz w:val="21"/>
          <w:szCs w:val="21"/>
          <w:highlight w:val="none"/>
        </w:rPr>
      </w:pPr>
    </w:p>
    <w:p>
      <w:pPr>
        <w:pStyle w:val="22"/>
        <w:spacing w:before="0" w:beforeLines="0" w:after="0" w:afterLines="0" w:line="36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二、招标文件</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（一）招标文件的构成。本招标文件由以下部份组成：</w:t>
      </w:r>
    </w:p>
    <w:p>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1.公开招标采购公告</w:t>
      </w:r>
    </w:p>
    <w:p>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2.招标需求</w:t>
      </w:r>
    </w:p>
    <w:p>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3.投标人须知</w:t>
      </w:r>
    </w:p>
    <w:p>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4.评标办法及评分标准</w:t>
      </w:r>
    </w:p>
    <w:p>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5.政府采购合同主要条款</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6.投标文件格式</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7.本项目招标文件的澄清、答复、修改、补充的内容</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（二）投标人的风险</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1、投标人应详细阅读采购文件中的全部内容和要求，按照采购文件的要求提交投标文件，没有按照采购文件要求提供投标文件和资料导致的风险由投标人承担</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并对所提供的全部资料的真实性承担法律责任。</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bCs/>
          <w:color w:val="auto"/>
          <w:szCs w:val="21"/>
          <w:highlight w:val="none"/>
        </w:rPr>
        <w:t>无论因何种原因导致本次采购活动终止致投标人损失的</w:t>
      </w:r>
      <w:r>
        <w:rPr>
          <w:rFonts w:hint="default" w:ascii="Times New Roman" w:hAnsi="Times New Roman" w:cs="Times New Roman"/>
          <w:color w:val="auto"/>
          <w:szCs w:val="21"/>
          <w:highlight w:val="none"/>
        </w:rPr>
        <w:t>，相关责任人均不承担任何责任。</w:t>
      </w:r>
    </w:p>
    <w:p>
      <w:pPr>
        <w:pStyle w:val="10"/>
        <w:widowControl w:val="0"/>
        <w:tabs>
          <w:tab w:val="clear" w:pos="454"/>
        </w:tabs>
        <w:spacing w:after="0" w:afterLines="0" w:line="360" w:lineRule="auto"/>
        <w:ind w:left="0" w:firstLine="413"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 xml:space="preserve">（三）招标文件的澄清与修改 </w:t>
      </w:r>
    </w:p>
    <w:p>
      <w:pPr>
        <w:pStyle w:val="22"/>
        <w:spacing w:before="0" w:beforeLines="0" w:after="0" w:afterLines="0" w:line="360" w:lineRule="auto"/>
        <w:ind w:firstLine="4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22"/>
        <w:spacing w:before="0" w:beforeLines="0" w:after="0" w:afterLines="0" w:line="360" w:lineRule="auto"/>
        <w:ind w:firstLine="4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2、更正公告为采购文件的组成部分，一经在网站发布，视同已通知所有采购文件的收受人，不再采用其它方式传达相关信息，若因未能及时了解到上述网站上发布的相关信息而导致的一切后果自行承担。</w:t>
      </w:r>
    </w:p>
    <w:p>
      <w:pPr>
        <w:pStyle w:val="22"/>
        <w:spacing w:before="0" w:beforeLines="0" w:after="0" w:afterLines="0" w:line="360" w:lineRule="auto"/>
        <w:ind w:firstLine="4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3、如更正公告有重新发布电子采购文件的，投标人应下载最新发布的电子招标文件制作投标文件。</w:t>
      </w:r>
    </w:p>
    <w:p>
      <w:pPr>
        <w:pStyle w:val="22"/>
        <w:spacing w:before="0" w:beforeLines="0" w:after="0" w:afterLines="0" w:line="360" w:lineRule="auto"/>
        <w:ind w:firstLine="420" w:firstLineChars="200"/>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4、投标人在规定的时间内未对招标文件提出疑问、质疑或要求澄清的，将视其为无异议。对采购文件中描述有歧义或前后不一致的地方，评审小组有权进行评判，但对同一条款的评判应适用于每个投标人。</w:t>
      </w:r>
    </w:p>
    <w:p>
      <w:pPr>
        <w:pStyle w:val="22"/>
        <w:spacing w:before="0" w:beforeLines="0" w:after="0" w:afterLines="0" w:line="360" w:lineRule="auto"/>
        <w:rPr>
          <w:rFonts w:hint="default" w:ascii="Times New Roman" w:hAnsi="Times New Roman" w:cs="Times New Roman"/>
          <w:b/>
          <w:color w:val="auto"/>
          <w:sz w:val="21"/>
          <w:szCs w:val="21"/>
          <w:highlight w:val="none"/>
        </w:rPr>
      </w:pPr>
    </w:p>
    <w:p>
      <w:pPr>
        <w:pStyle w:val="22"/>
        <w:spacing w:before="0" w:beforeLines="0" w:after="0" w:afterLines="0" w:line="36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三、投标文件的编制</w:t>
      </w:r>
    </w:p>
    <w:p>
      <w:pPr>
        <w:pStyle w:val="22"/>
        <w:spacing w:before="0" w:beforeLines="0" w:after="0" w:afterLines="0" w:line="360" w:lineRule="auto"/>
        <w:ind w:firstLine="413" w:firstLineChars="196"/>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（一）投标文件由报价文件、资格证明文件、技术商务文件组成</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1.报价文件包括以下内容：</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（1）投标声明书（格式见附件）；</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（2）开标一览表（格式见附件）；</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）投标人针对报价需要说明的其他文件和说明。</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2.资格证明文件包括以下内容：</w:t>
      </w:r>
    </w:p>
    <w:p>
      <w:pPr>
        <w:spacing w:line="360" w:lineRule="auto"/>
        <w:ind w:firstLine="411" w:firstLineChars="196"/>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（1）资格条件自查表（格式见附件）；</w:t>
      </w:r>
    </w:p>
    <w:p>
      <w:pPr>
        <w:spacing w:line="360" w:lineRule="auto"/>
        <w:ind w:firstLine="411" w:firstLineChars="196"/>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cs="Times New Roman"/>
          <w:color w:val="auto"/>
          <w:szCs w:val="21"/>
          <w:highlight w:val="none"/>
        </w:rPr>
        <w:t>有效的企业法人营业执照（或事业法人登记证）、其他组织（个体工商户）的营业执照或者民办非企业单位登记证书复印件（加盖公章）；</w:t>
      </w:r>
    </w:p>
    <w:p>
      <w:pPr>
        <w:spacing w:line="360" w:lineRule="auto"/>
        <w:ind w:firstLine="411" w:firstLineChars="196"/>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（3）书面声明（格式见附件）；</w:t>
      </w:r>
    </w:p>
    <w:p>
      <w:pPr>
        <w:spacing w:line="360" w:lineRule="auto"/>
        <w:ind w:firstLine="411" w:firstLineChars="196"/>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）中小企业声明函（格式见附件）；</w:t>
      </w:r>
    </w:p>
    <w:p>
      <w:pPr>
        <w:spacing w:line="360" w:lineRule="auto"/>
        <w:ind w:firstLine="411" w:firstLineChars="196"/>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）残疾人福利性单位声明函（如有，填写要求详见后款九、特别说明的条件，请对照相关政策要求如实填写，填写格式见附件）</w:t>
      </w:r>
      <w:r>
        <w:rPr>
          <w:rFonts w:hint="default" w:ascii="Times New Roman" w:hAnsi="Times New Roman" w:eastAsia="宋体" w:cs="Times New Roman"/>
          <w:color w:val="auto"/>
          <w:szCs w:val="21"/>
          <w:highlight w:val="none"/>
          <w:lang w:eastAsia="zh-CN"/>
        </w:rPr>
        <w:t>；</w:t>
      </w:r>
    </w:p>
    <w:p>
      <w:pPr>
        <w:spacing w:line="360" w:lineRule="auto"/>
        <w:ind w:firstLine="411" w:firstLineChars="196"/>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eastAsia="zh-CN"/>
        </w:rPr>
        <w:t>（</w:t>
      </w:r>
      <w:r>
        <w:rPr>
          <w:rFonts w:hint="eastAsia" w:cs="Times New Roman"/>
          <w:color w:val="auto"/>
          <w:szCs w:val="21"/>
          <w:highlight w:val="none"/>
          <w:lang w:val="en-US" w:eastAsia="zh-CN"/>
        </w:rPr>
        <w:t>6</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特定资格要求（如有，提供证明材料）。</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3.技术商务文件包括以下内容：</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（1）符合性自查表（格式见附件）；</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（2）法定代表人资格证明（格式见附件）；</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（3）法定代表人授权委托书（投标人的代表若为非法定代表人的，必须提交法定代表人授权委托书原件，另请提供投标人代表的社保部门出具的开标前近三个月任意一个月的社保证明，格式见附件）；</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（4）商务条款响应（偏离）表（格式见附件，根据第二章《招标需求》一、商务要求表的要求制作）；</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（5）服务条款响应（偏离）表（格式见附件，根据第二章《招标需求》二、详细采购需求的要求制作）；</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（6）评分标准或招标文件需要提供的其他技术商务材料：</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投标人响应表（格式见附件）；</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其他（格式自拟）。</w:t>
      </w:r>
    </w:p>
    <w:p>
      <w:pPr>
        <w:spacing w:line="360" w:lineRule="auto"/>
        <w:ind w:firstLine="411" w:firstLineChars="196"/>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（7）评分标准要求提供的其他技术资料及说明。</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（二）投标文件的语言及计量</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*1投标文件以及投标方与采购人就有关投标事宜的所有来往函电，均应以中文汉语书写。除签名、盖章、专用名称等特殊情形外，以中文汉语以外的文字表述的投标文件视同未提供。</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（三）投标报价</w:t>
      </w:r>
    </w:p>
    <w:p>
      <w:pPr>
        <w:pStyle w:val="22"/>
        <w:spacing w:before="0" w:beforeLines="0" w:after="0" w:afterLines="0" w:line="36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1.投标报价应按招标文件中相关附表格式填写。</w:t>
      </w:r>
    </w:p>
    <w:p>
      <w:pPr>
        <w:pStyle w:val="22"/>
        <w:widowControl/>
        <w:spacing w:before="0" w:beforeLines="0" w:after="0" w:afterLines="0" w:line="360" w:lineRule="auto"/>
        <w:ind w:left="42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*2.报价要求：详见第三章《投标人须知》前附表第3条。</w:t>
      </w:r>
    </w:p>
    <w:p>
      <w:pPr>
        <w:tabs>
          <w:tab w:val="left" w:pos="525"/>
        </w:tabs>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*3.投标文件只允许有一个报价，有选择的或有条件的报价将不予接受。</w:t>
      </w:r>
    </w:p>
    <w:p>
      <w:pPr>
        <w:pStyle w:val="10"/>
        <w:widowControl w:val="0"/>
        <w:tabs>
          <w:tab w:val="clear" w:pos="454"/>
        </w:tabs>
        <w:spacing w:after="0" w:afterLines="0" w:line="360" w:lineRule="auto"/>
        <w:ind w:left="0" w:firstLine="413"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4.投标人在政采云系统中就本项目填写的报价与以pdf格式上传文件中的报价不一致的，应以pdf格式上传文件中的报价为准。</w:t>
      </w:r>
    </w:p>
    <w:p>
      <w:pPr>
        <w:pStyle w:val="10"/>
        <w:widowControl w:val="0"/>
        <w:tabs>
          <w:tab w:val="clear" w:pos="454"/>
        </w:tabs>
        <w:spacing w:after="0" w:afterLines="0" w:line="360" w:lineRule="auto"/>
        <w:ind w:left="0" w:firstLine="413"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（四）投标文件的有效期</w:t>
      </w:r>
    </w:p>
    <w:p>
      <w:pPr>
        <w:pStyle w:val="10"/>
        <w:widowControl w:val="0"/>
        <w:tabs>
          <w:tab w:val="clear" w:pos="454"/>
        </w:tabs>
        <w:spacing w:after="0" w:afterLines="0" w:line="360" w:lineRule="auto"/>
        <w:ind w:left="0"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*1.自投标截止之日起</w:t>
      </w:r>
      <w:r>
        <w:rPr>
          <w:rFonts w:hint="default" w:ascii="Times New Roman" w:hAnsi="Times New Roman" w:cs="Times New Roman"/>
          <w:b/>
          <w:color w:val="auto"/>
          <w:sz w:val="21"/>
          <w:szCs w:val="21"/>
          <w:highlight w:val="none"/>
          <w:u w:val="single"/>
        </w:rPr>
        <w:t>90</w:t>
      </w:r>
      <w:r>
        <w:rPr>
          <w:rFonts w:hint="default" w:ascii="Times New Roman" w:hAnsi="Times New Roman" w:cs="Times New Roman"/>
          <w:b/>
          <w:color w:val="auto"/>
          <w:sz w:val="21"/>
          <w:szCs w:val="21"/>
          <w:highlight w:val="none"/>
        </w:rPr>
        <w:t>天投标文件应保持有效。有效期不足的投标文件将被拒绝。</w:t>
      </w:r>
    </w:p>
    <w:p>
      <w:pPr>
        <w:pStyle w:val="10"/>
        <w:widowControl w:val="0"/>
        <w:tabs>
          <w:tab w:val="clear" w:pos="454"/>
        </w:tabs>
        <w:spacing w:after="0" w:afterLines="0" w:line="360" w:lineRule="auto"/>
        <w:ind w:lef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2.在特殊情况下，采购人可与投标人协商延长投标文件的有效期，这种要求和答复均以书面形式进行。</w:t>
      </w:r>
    </w:p>
    <w:p>
      <w:pPr>
        <w:spacing w:line="360" w:lineRule="auto"/>
        <w:ind w:firstLine="420" w:firstLineChars="200"/>
        <w:jc w:val="left"/>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3.投标人可拒绝接受延期要求，同意延长有效期，但不能修改投标文件。</w:t>
      </w:r>
      <w:r>
        <w:rPr>
          <w:rFonts w:hint="default" w:ascii="Times New Roman" w:hAnsi="Times New Roman" w:cs="Times New Roman"/>
          <w:b/>
          <w:color w:val="auto"/>
          <w:szCs w:val="21"/>
          <w:highlight w:val="none"/>
        </w:rPr>
        <w:t xml:space="preserve"> </w:t>
      </w:r>
    </w:p>
    <w:p>
      <w:pPr>
        <w:spacing w:line="360" w:lineRule="auto"/>
        <w:ind w:firstLine="420" w:firstLineChars="200"/>
        <w:jc w:val="left"/>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4.中标人的投标文件自开标之日起至合同履行完毕止均应保持有效。</w:t>
      </w:r>
    </w:p>
    <w:p>
      <w:pPr>
        <w:spacing w:line="360" w:lineRule="auto"/>
        <w:ind w:firstLine="413" w:firstLineChars="196"/>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（五）投标文件的签署和份数</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1.投标人应按本招标文件规定的格式和顺序编制投标文件并标注页码，投标文件内容不完整、编排混乱导致投标文件被误读、漏读或者查找不到相关内容的，是投标人的责任。</w:t>
      </w:r>
    </w:p>
    <w:p>
      <w:pPr>
        <w:spacing w:line="360" w:lineRule="auto"/>
        <w:ind w:firstLine="420" w:firstLineChars="200"/>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2.以U盘形式提供的备份电子投标文件1份（详见前附表要求）。</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3.投标文件不得涂改，若有修改错漏处，须加盖单位公章或者法定代表人或授权委托人签名或盖章。投标文件因字迹潦草或表达不清所引起的后果由投标人负责。</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b/>
          <w:bCs/>
          <w:color w:val="auto"/>
          <w:szCs w:val="21"/>
          <w:highlight w:val="none"/>
        </w:rPr>
        <w:t>电子投标文件部分：投标人应根据“政采云供应商项目采购-电子招投标操作指南”及本招标文件规定的格式和顺序编制电子投标文件并进行关联定位。</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以介质存储的数据电文形式的备份投标文件部分：电子投标文件的备份文件，以U盘形式存储，并单独密封递交。</w:t>
      </w:r>
    </w:p>
    <w:p>
      <w:pPr>
        <w:spacing w:line="360" w:lineRule="auto"/>
        <w:ind w:firstLine="310" w:firstLineChars="147"/>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（六）投标文件的包装、递交、修改和撤回</w:t>
      </w:r>
    </w:p>
    <w:p>
      <w:pPr>
        <w:spacing w:line="360" w:lineRule="auto"/>
        <w:ind w:firstLine="422" w:firstLineChars="200"/>
        <w:jc w:val="left"/>
        <w:rPr>
          <w:rFonts w:hint="default" w:ascii="Times New Roman" w:hAnsi="Times New Roman" w:cs="Times New Roman"/>
          <w:bCs/>
          <w:color w:val="auto"/>
          <w:szCs w:val="21"/>
          <w:highlight w:val="none"/>
        </w:rPr>
      </w:pPr>
      <w:r>
        <w:rPr>
          <w:rFonts w:hint="default" w:ascii="Times New Roman" w:hAnsi="Times New Roman" w:cs="Times New Roman"/>
          <w:b/>
          <w:color w:val="auto"/>
          <w:szCs w:val="21"/>
          <w:highlight w:val="none"/>
        </w:rPr>
        <w:t>1.</w:t>
      </w:r>
      <w:r>
        <w:rPr>
          <w:rFonts w:hint="default" w:ascii="Times New Roman" w:hAnsi="Times New Roman" w:cs="Times New Roman"/>
          <w:b/>
          <w:color w:val="auto"/>
          <w:highlight w:val="none"/>
        </w:rPr>
        <w:t>电子投标文件的备份文件单独包封，外包装封面上应注明投标人名称、投标人地址、投标文件名称（电子投标文件的备份文件）、投标项目名称、项目编号、标项号及“开标之前不得启封”字样，并加盖投标人公章。</w:t>
      </w:r>
    </w:p>
    <w:p>
      <w:pPr>
        <w:spacing w:line="360" w:lineRule="auto"/>
        <w:ind w:firstLine="420"/>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2.未按规定密封或标记的投标文件，采购人有权拒绝接受其投标。</w:t>
      </w:r>
    </w:p>
    <w:p>
      <w:pPr>
        <w:spacing w:line="360" w:lineRule="auto"/>
        <w:ind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3.投标人在投标截止时间之前，可以对所提交的投标文件进行补充、修改或者撤回，并书面通知采购人或采购代理机构。补充、修改的内容应当按照招标文件要求签署、盖章、密封后，作为投标文件的组成部分。</w:t>
      </w:r>
    </w:p>
    <w:p>
      <w:pPr>
        <w:spacing w:line="360" w:lineRule="auto"/>
        <w:ind w:firstLine="413" w:firstLineChars="196"/>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（七）投标无效的情形</w:t>
      </w:r>
    </w:p>
    <w:p>
      <w:pPr>
        <w:spacing w:line="360" w:lineRule="auto"/>
        <w:ind w:firstLine="413" w:firstLineChars="196"/>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实质上没有响应招标文件要求的投标将被视为无效投标。</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bCs/>
          <w:color w:val="auto"/>
          <w:sz w:val="21"/>
          <w:szCs w:val="21"/>
          <w:highlight w:val="none"/>
        </w:rPr>
        <w:t>1.在资格审查时，不具备招标文件中规定的资格要求的，或者资格证明文件不全的，</w:t>
      </w:r>
      <w:r>
        <w:rPr>
          <w:rFonts w:hint="default" w:ascii="Times New Roman" w:hAnsi="Times New Roman" w:cs="Times New Roman"/>
          <w:b/>
          <w:color w:val="auto"/>
          <w:sz w:val="21"/>
          <w:szCs w:val="21"/>
          <w:highlight w:val="none"/>
        </w:rPr>
        <w:t>投标文件将被视为无效。</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2.在符合性审查时，如发现下列情形之一的，投标文件将被视为无效：</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（1）投标文件未按招标文件要求签署、签章的；</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（2）投标有效期不满足招标文件要求的；</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（3）明显不符合招标文件要求的，或者与招标文件中标注“*”的条款发生负偏离的；</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（4）投标文件中含有采购人不能接受的附加条件的；</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（5）投标文件的实质性内容未使用中文表述、表述不明确、前后矛盾或者使用计量单位不符合招标文件要求的（经评审小组认定并允许其当场更正的笔误除外）；</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 xml:space="preserve">（6）投标文件的关键内容字迹模糊、无法辨认的，或者投标文件中经修正的内容字迹模糊难以辩认或者修改处未按规定签署、盖章的； </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）法律、法规和招标文件规定的其他无效情形。</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bCs/>
          <w:color w:val="auto"/>
          <w:sz w:val="21"/>
          <w:szCs w:val="21"/>
          <w:highlight w:val="none"/>
        </w:rPr>
        <w:t>3.在技术商务评审时，如发现下列情形之一的，投标文件将被视为无效：</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（1）未提供或未如实提供投标货物的技术参数，或者投标文件标明的响应或偏离与事实不符或虚假投标的。</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（2）明显不符合招标文件要求的规格型号、质量标准，或者与招标文件中标“*”的条款发生实质性偏离的；或者与第二章采购需求二、详细采购需求中的服务条款发生负偏离条数超过15条（含）的。</w:t>
      </w:r>
    </w:p>
    <w:p>
      <w:pPr>
        <w:pStyle w:val="17"/>
        <w:spacing w:line="360" w:lineRule="auto"/>
        <w:ind w:firstLine="406"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（3）投标技术方案不明确，存在一个或一个以上备选（替代）投标方案的。</w:t>
      </w:r>
    </w:p>
    <w:p>
      <w:pPr>
        <w:pStyle w:val="17"/>
        <w:spacing w:line="360" w:lineRule="auto"/>
        <w:ind w:firstLine="406"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（4）技术商务文件出现投标总价的。</w:t>
      </w:r>
    </w:p>
    <w:p>
      <w:pPr>
        <w:pStyle w:val="17"/>
        <w:spacing w:line="360" w:lineRule="auto"/>
        <w:ind w:firstLine="398" w:firstLineChars="196"/>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4.在报价评审时，如发现下列情形之一的，投标文件将被视为无效：</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bCs/>
          <w:color w:val="auto"/>
          <w:sz w:val="21"/>
          <w:szCs w:val="21"/>
          <w:highlight w:val="none"/>
        </w:rPr>
        <w:t>报价超过招标文件中规定的预算金额或者最高限价的</w:t>
      </w:r>
      <w:r>
        <w:rPr>
          <w:rFonts w:hint="default" w:ascii="Times New Roman" w:hAnsi="Times New Roman" w:cs="Times New Roman"/>
          <w:b/>
          <w:color w:val="auto"/>
          <w:sz w:val="21"/>
          <w:szCs w:val="21"/>
          <w:highlight w:val="none"/>
        </w:rPr>
        <w:t>；</w:t>
      </w:r>
    </w:p>
    <w:p>
      <w:pPr>
        <w:pStyle w:val="17"/>
        <w:spacing w:line="360" w:lineRule="auto"/>
        <w:ind w:firstLine="398"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w:t>
      </w:r>
      <w:r>
        <w:rPr>
          <w:rFonts w:hint="default" w:ascii="Times New Roman" w:hAnsi="Times New Roman" w:cs="Times New Roman"/>
          <w:b/>
          <w:bCs/>
          <w:color w:val="auto"/>
          <w:sz w:val="21"/>
          <w:szCs w:val="21"/>
          <w:highlight w:val="none"/>
        </w:rPr>
        <w:t>未采用投标文件要求的报价形式报价的</w:t>
      </w:r>
      <w:r>
        <w:rPr>
          <w:rFonts w:hint="default" w:ascii="Times New Roman" w:hAnsi="Times New Roman" w:cs="Times New Roman"/>
          <w:b/>
          <w:color w:val="auto"/>
          <w:sz w:val="21"/>
          <w:szCs w:val="21"/>
          <w:highlight w:val="none"/>
        </w:rPr>
        <w:t>；</w:t>
      </w:r>
    </w:p>
    <w:p>
      <w:pPr>
        <w:pStyle w:val="17"/>
        <w:spacing w:line="360" w:lineRule="auto"/>
        <w:ind w:firstLine="406"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（3）投标报价具有选择性的；</w:t>
      </w:r>
    </w:p>
    <w:p>
      <w:pPr>
        <w:pStyle w:val="17"/>
        <w:spacing w:line="360" w:lineRule="auto"/>
        <w:ind w:firstLine="406"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 xml:space="preserve">（4）评委会一致认为报价明显不合理的；     </w:t>
      </w:r>
    </w:p>
    <w:p>
      <w:pPr>
        <w:pStyle w:val="17"/>
        <w:spacing w:line="360" w:lineRule="auto"/>
        <w:ind w:firstLine="406"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（5）投标报价中出现重大缺项、漏项或被评审小组</w:t>
      </w:r>
      <w:r>
        <w:rPr>
          <w:rFonts w:hint="default" w:ascii="Times New Roman" w:hAnsi="Times New Roman" w:cs="Times New Roman"/>
          <w:b/>
          <w:bCs/>
          <w:color w:val="auto"/>
          <w:sz w:val="21"/>
          <w:szCs w:val="21"/>
          <w:highlight w:val="none"/>
        </w:rPr>
        <w:t>认为投标人的报价明显低于</w:t>
      </w:r>
      <w:r>
        <w:rPr>
          <w:rFonts w:hint="default" w:ascii="Times New Roman" w:hAnsi="Times New Roman" w:cs="Times New Roman"/>
          <w:b/>
          <w:color w:val="auto"/>
          <w:sz w:val="21"/>
          <w:szCs w:val="21"/>
          <w:highlight w:val="none"/>
        </w:rPr>
        <w:t>其他通过符合性审查投标人的报价，且投标人不能证明其报价合理性的；</w:t>
      </w:r>
    </w:p>
    <w:p>
      <w:pPr>
        <w:pStyle w:val="17"/>
        <w:spacing w:line="360" w:lineRule="auto"/>
        <w:ind w:firstLine="406"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w:t>
      </w:r>
      <w:r>
        <w:rPr>
          <w:rFonts w:hint="default" w:ascii="Times New Roman" w:hAnsi="Times New Roman" w:cs="Times New Roman"/>
          <w:b/>
          <w:bCs/>
          <w:color w:val="auto"/>
          <w:sz w:val="21"/>
          <w:szCs w:val="21"/>
          <w:highlight w:val="none"/>
        </w:rPr>
        <w:t>招标文件规定的其他无效情形。</w:t>
      </w:r>
    </w:p>
    <w:p>
      <w:pPr>
        <w:pStyle w:val="17"/>
        <w:spacing w:line="360" w:lineRule="auto"/>
        <w:ind w:firstLine="406"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5.被拒绝的投标文件为无效。</w:t>
      </w:r>
    </w:p>
    <w:p>
      <w:pPr>
        <w:pStyle w:val="17"/>
        <w:spacing w:line="360" w:lineRule="auto"/>
        <w:ind w:firstLine="398" w:firstLineChars="196"/>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不同投标人的投标文件出自同一终端设备或在相同Internet主机分配地址（相同IP地址）网上报名投标</w:t>
      </w:r>
      <w:r>
        <w:rPr>
          <w:rFonts w:hint="default" w:ascii="Times New Roman" w:hAnsi="Times New Roman" w:cs="Times New Roman"/>
          <w:b/>
          <w:color w:val="auto"/>
          <w:sz w:val="21"/>
          <w:szCs w:val="21"/>
          <w:highlight w:val="none"/>
          <w:lang w:eastAsia="zh-CN"/>
        </w:rPr>
        <w:t>。</w:t>
      </w:r>
    </w:p>
    <w:p>
      <w:pPr>
        <w:pStyle w:val="17"/>
        <w:spacing w:line="360" w:lineRule="auto"/>
        <w:ind w:firstLine="0"/>
        <w:rPr>
          <w:rFonts w:hint="default" w:ascii="Times New Roman" w:hAnsi="Times New Roman" w:cs="Times New Roman"/>
          <w:b/>
          <w:color w:val="auto"/>
          <w:sz w:val="21"/>
          <w:szCs w:val="21"/>
          <w:highlight w:val="none"/>
        </w:rPr>
      </w:pPr>
    </w:p>
    <w:p>
      <w:pPr>
        <w:pStyle w:val="17"/>
        <w:spacing w:line="360" w:lineRule="auto"/>
        <w:ind w:firstLine="0"/>
        <w:rPr>
          <w:rFonts w:hint="default" w:ascii="Times New Roman" w:hAnsi="Times New Roman" w:cs="Times New Roman"/>
          <w:b/>
          <w:snapToGrid w:val="0"/>
          <w:color w:val="auto"/>
          <w:sz w:val="21"/>
          <w:szCs w:val="21"/>
          <w:highlight w:val="none"/>
        </w:rPr>
      </w:pPr>
      <w:r>
        <w:rPr>
          <w:rFonts w:hint="default" w:ascii="Times New Roman" w:hAnsi="Times New Roman" w:cs="Times New Roman"/>
          <w:b/>
          <w:color w:val="auto"/>
          <w:sz w:val="21"/>
          <w:szCs w:val="21"/>
          <w:highlight w:val="none"/>
        </w:rPr>
        <w:t>四、开标</w:t>
      </w:r>
    </w:p>
    <w:p>
      <w:pPr>
        <w:pStyle w:val="22"/>
        <w:spacing w:before="0" w:beforeLines="0" w:after="0" w:afterLines="0" w:line="360" w:lineRule="auto"/>
        <w:ind w:firstLine="413"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（一）开标准备</w:t>
      </w:r>
    </w:p>
    <w:p>
      <w:pPr>
        <w:pStyle w:val="22"/>
        <w:spacing w:before="0" w:beforeLines="0" w:after="0" w:afterLines="0" w:line="360" w:lineRule="auto"/>
        <w:ind w:firstLine="411" w:firstLineChars="196"/>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投标人应当在采购文件要求提交投标文件的截止时间前，将投标文件密封送达投标地点，在完成投标文件和人员信息登记后立即离开，采购代理机构将在规定的时间和地点进行开标。采购代理机构收到投标文件后，应当记载投标文件送达时间和密封情况，签收保存并向投标人出具签收回执。投标人的法定代表人或其授权代表未按时签到登记的，视同放弃开标监督权利、认可开标结果。</w:t>
      </w:r>
    </w:p>
    <w:p>
      <w:pPr>
        <w:pStyle w:val="22"/>
        <w:spacing w:before="0" w:beforeLines="0" w:after="0" w:afterLines="0" w:line="360" w:lineRule="auto"/>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（二）电子招投标开标及评审程序</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1.投标截止时间后，投标人登录政采云平台，用“项目采购-开标评标”功能对电子投标文件进行在线解密。在线解密电子投标文件时间以政采云平台设置为准。</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2.采购人或代理机构对投标人的资格进行审查；</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3.评标委员会对商务技术响应文件进行评审；</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4.在系统上公开资格和商务技术评审结果；</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5.在系统上公开报价开标情况；</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6.评标委员会对报价情况进行评审；</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7.在系统上公布评审结果。</w:t>
      </w:r>
    </w:p>
    <w:p>
      <w:pPr>
        <w:pStyle w:val="22"/>
        <w:spacing w:before="0" w:beforeLines="0" w:after="0" w:afterLines="0"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特别说明：政采云公司如对电子化开标及评审程序有调整的，按调整后的程序操作。</w:t>
      </w:r>
    </w:p>
    <w:p>
      <w:pPr>
        <w:pStyle w:val="22"/>
        <w:spacing w:before="0" w:beforeLines="0" w:after="0" w:afterLines="0" w:line="360" w:lineRule="auto"/>
        <w:rPr>
          <w:rFonts w:hint="default" w:ascii="Times New Roman" w:hAnsi="Times New Roman" w:cs="Times New Roman"/>
          <w:b/>
          <w:color w:val="auto"/>
          <w:sz w:val="21"/>
          <w:szCs w:val="21"/>
          <w:highlight w:val="none"/>
        </w:rPr>
      </w:pPr>
    </w:p>
    <w:p>
      <w:pPr>
        <w:pStyle w:val="22"/>
        <w:spacing w:before="0" w:beforeLines="0" w:after="0" w:afterLines="0" w:line="36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五、评标</w:t>
      </w:r>
    </w:p>
    <w:p>
      <w:pPr>
        <w:pStyle w:val="22"/>
        <w:spacing w:before="0" w:beforeLines="0" w:after="0" w:afterLines="0" w:line="360" w:lineRule="auto"/>
        <w:ind w:left="690" w:leftChars="228" w:hanging="211" w:hangingChars="1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（一）组建评审小组</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本项目评审小组依法组建。</w:t>
      </w:r>
    </w:p>
    <w:p>
      <w:pPr>
        <w:pStyle w:val="22"/>
        <w:spacing w:before="0" w:beforeLines="0" w:after="0" w:afterLines="0" w:line="360" w:lineRule="auto"/>
        <w:ind w:left="690" w:leftChars="228" w:hanging="211" w:hangingChars="1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（二）评标原则</w:t>
      </w:r>
    </w:p>
    <w:p>
      <w:pPr>
        <w:pStyle w:val="22"/>
        <w:spacing w:before="0" w:beforeLines="0" w:after="0" w:afterLines="0" w:line="360" w:lineRule="auto"/>
        <w:ind w:firstLine="420"/>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本项目采用不公开方式评标，评标的依据为招标文件和投标文件。</w:t>
      </w:r>
    </w:p>
    <w:p>
      <w:pPr>
        <w:pStyle w:val="22"/>
        <w:spacing w:before="0" w:beforeLines="0" w:after="0" w:afterLines="0" w:line="360" w:lineRule="auto"/>
        <w:ind w:left="690" w:leftChars="228" w:hanging="211" w:hangingChars="1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（三）</w:t>
      </w:r>
      <w:r>
        <w:rPr>
          <w:rFonts w:hint="default" w:ascii="Times New Roman" w:hAnsi="Times New Roman" w:cs="Times New Roman"/>
          <w:b/>
          <w:bCs/>
          <w:color w:val="auto"/>
          <w:sz w:val="21"/>
          <w:szCs w:val="21"/>
          <w:highlight w:val="none"/>
        </w:rPr>
        <w:t>评标程序</w:t>
      </w:r>
    </w:p>
    <w:p>
      <w:pPr>
        <w:spacing w:line="360" w:lineRule="auto"/>
        <w:ind w:firstLine="413" w:firstLineChars="196"/>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1.资格审查</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采购人代表或代理机构工作人员对投标人的资格进行审查。</w:t>
      </w:r>
    </w:p>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2.符合性检查</w:t>
      </w:r>
    </w:p>
    <w:p>
      <w:pPr>
        <w:spacing w:line="360" w:lineRule="auto"/>
        <w:ind w:firstLine="420" w:firstLineChars="200"/>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评审小组对通过资格审查的投标人的投标文件的完整性、合法性进行符合性检查。</w:t>
      </w:r>
    </w:p>
    <w:p>
      <w:pPr>
        <w:spacing w:line="360" w:lineRule="auto"/>
        <w:ind w:firstLine="413" w:firstLineChars="196"/>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3.实质审查与比较</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（1）评审小组审查投标文件的实质性内容是否符合招标文件的实质性要求。</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（2）评审小组将根据投标人的投标文件进行审查、核对，如有疑问，将对投标人进行询标</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投标人要向评审小组澄清有关问题,并最终以书面形式进行答复。</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投标人代表未到场或者拒绝澄清或者澄清的内容改变了投标文件的实质性内容的，评审小组有权对该投标文件作出不利于投标人的评判。</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（3）各投标人的技术得分为所有评委的有效评分的算术平均数，由指定专人进行计算复核。</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（4）代理机构工作人员协助评审小组根据本项目的评分标准计算各投标人的商务报价得分。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（5）评审小组完成评标后，评委或代理机构对各部分得分汇总，计算出本项目最终得分。评审小组按评标原则推荐中标候选人同时起草评标报告。</w:t>
      </w:r>
    </w:p>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bCs/>
          <w:color w:val="auto"/>
          <w:szCs w:val="21"/>
          <w:highlight w:val="none"/>
        </w:rPr>
        <w:t>（四）</w:t>
      </w:r>
      <w:r>
        <w:rPr>
          <w:rFonts w:hint="default" w:ascii="Times New Roman" w:hAnsi="Times New Roman" w:cs="Times New Roman"/>
          <w:b/>
          <w:color w:val="auto"/>
          <w:szCs w:val="21"/>
          <w:highlight w:val="none"/>
        </w:rPr>
        <w:t>澄清问题的形式</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1.对于投标文件中含义不明确、同类问题表述不一致或者有明显文字和计算错误的内容，评审小组应当以书面形式要求投标人作出必要的澄清、说明或者补正。</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2.投标人的澄清、说明或者补正应当采用书面形式，并加盖公章，或者由法定代表人或其授权的代表签名。投标人的澄清、说明或者补正不得超出投标文件的范围或者改变投标文件的实质性内容。</w:t>
      </w:r>
    </w:p>
    <w:p>
      <w:pPr>
        <w:pStyle w:val="22"/>
        <w:spacing w:before="0" w:beforeLines="0" w:after="0" w:afterLines="0" w:line="360" w:lineRule="auto"/>
        <w:ind w:left="690" w:leftChars="228" w:hanging="211" w:hangingChars="100"/>
        <w:rPr>
          <w:rFonts w:hint="default" w:ascii="Times New Roman" w:hAnsi="Times New Roman" w:cs="Times New Roman"/>
          <w:b/>
          <w:color w:val="auto"/>
          <w:sz w:val="21"/>
          <w:szCs w:val="21"/>
          <w:highlight w:val="none"/>
        </w:rPr>
      </w:pPr>
      <w:r>
        <w:rPr>
          <w:rFonts w:hint="default" w:ascii="Times New Roman" w:hAnsi="Times New Roman" w:cs="Times New Roman"/>
          <w:b/>
          <w:bCs/>
          <w:color w:val="auto"/>
          <w:sz w:val="21"/>
          <w:szCs w:val="21"/>
          <w:highlight w:val="none"/>
        </w:rPr>
        <w:t>（五）</w:t>
      </w:r>
      <w:r>
        <w:rPr>
          <w:rFonts w:hint="default" w:ascii="Times New Roman" w:hAnsi="Times New Roman" w:cs="Times New Roman"/>
          <w:b/>
          <w:color w:val="auto"/>
          <w:sz w:val="21"/>
          <w:szCs w:val="21"/>
          <w:highlight w:val="none"/>
        </w:rPr>
        <w:t>投标文件错误修正原则</w:t>
      </w:r>
    </w:p>
    <w:p>
      <w:pPr>
        <w:pStyle w:val="22"/>
        <w:spacing w:before="0" w:beforeLines="0" w:after="0" w:afterLines="0" w:line="360" w:lineRule="auto"/>
        <w:ind w:firstLine="42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投标文件如果出现计算或表达上的错误，修正错误的原则如下：</w:t>
      </w:r>
    </w:p>
    <w:p>
      <w:pPr>
        <w:pStyle w:val="22"/>
        <w:spacing w:before="0" w:beforeLines="0" w:after="0" w:afterLines="0" w:line="360" w:lineRule="auto"/>
        <w:ind w:firstLine="42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1、投标文件中开标一览表（报价表）内容与投标文件中相应内容不一致的，以开标一览表（报价表）为准；</w:t>
      </w:r>
    </w:p>
    <w:p>
      <w:pPr>
        <w:pStyle w:val="22"/>
        <w:spacing w:before="0" w:beforeLines="0" w:after="0" w:afterLines="0" w:line="360" w:lineRule="auto"/>
        <w:ind w:firstLine="42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2、大写金额和小写金额不一致的，以大写金额为准；</w:t>
      </w:r>
    </w:p>
    <w:p>
      <w:pPr>
        <w:pStyle w:val="22"/>
        <w:spacing w:before="0" w:beforeLines="0" w:after="0" w:afterLines="0" w:line="360" w:lineRule="auto"/>
        <w:ind w:firstLine="42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3、单价金额小数点或者百分比有明显错位的，以开标一览表的总价为准，并修改单价；</w:t>
      </w:r>
    </w:p>
    <w:p>
      <w:pPr>
        <w:pStyle w:val="22"/>
        <w:spacing w:before="0" w:beforeLines="0" w:after="0" w:afterLines="0" w:line="360" w:lineRule="auto"/>
        <w:ind w:firstLine="42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4、总价金额与按单价汇总金额不一致的，以单价金额计算结果为准。</w:t>
      </w:r>
    </w:p>
    <w:p>
      <w:pPr>
        <w:pStyle w:val="22"/>
        <w:spacing w:before="0" w:beforeLines="0" w:after="0" w:afterLines="0"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5、投标人在政采云系统中就本项目填写的报价与以pdf格式上传文件中的报价不一致的，应以pdf格式上传文件中的报价为准。</w:t>
      </w:r>
    </w:p>
    <w:p>
      <w:pPr>
        <w:pStyle w:val="22"/>
        <w:spacing w:before="0" w:beforeLines="0" w:after="0" w:afterLines="0"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同时出现两种以上不一致的，按照前款规定的顺序修正。修正后的报价经投标人确认后产生约束力，投标人不确认的，其投标无效。</w:t>
      </w:r>
    </w:p>
    <w:p>
      <w:pPr>
        <w:pStyle w:val="22"/>
        <w:tabs>
          <w:tab w:val="left" w:pos="630"/>
        </w:tabs>
        <w:spacing w:before="0" w:beforeLines="0" w:after="0" w:afterLines="0" w:line="360" w:lineRule="auto"/>
        <w:ind w:firstLine="413"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（六）评标原则和评标办法</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评标原则。评审小组必须公平、公正、客观，不带任何倾向性和启发性；不得向外界透露任何与评标有关的内容；任何单位和个人不得干扰、影响评标的正常进行；评审小组及有关工作人员不得私下与投标人接触。</w:t>
      </w:r>
    </w:p>
    <w:p>
      <w:pPr>
        <w:pStyle w:val="22"/>
        <w:spacing w:before="0" w:beforeLines="0" w:after="0" w:afterLines="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2.评标办法。本项目评标办法是</w:t>
      </w:r>
      <w:r>
        <w:rPr>
          <w:rFonts w:hint="default" w:ascii="Times New Roman" w:hAnsi="Times New Roman" w:cs="Times New Roman"/>
          <w:color w:val="auto"/>
          <w:sz w:val="21"/>
          <w:szCs w:val="21"/>
          <w:highlight w:val="none"/>
          <w:u w:val="single"/>
        </w:rPr>
        <w:t>综合评分法</w:t>
      </w:r>
      <w:r>
        <w:rPr>
          <w:rFonts w:hint="default" w:ascii="Times New Roman" w:hAnsi="Times New Roman" w:cs="Times New Roman"/>
          <w:color w:val="auto"/>
          <w:sz w:val="21"/>
          <w:szCs w:val="21"/>
          <w:highlight w:val="none"/>
        </w:rPr>
        <w:t>，具体评标内容及评分标准等详见第四章《评标办法及评分标准》。</w:t>
      </w:r>
    </w:p>
    <w:p>
      <w:pPr>
        <w:pStyle w:val="22"/>
        <w:spacing w:before="0" w:beforeLines="0" w:after="0" w:afterLines="0" w:line="360" w:lineRule="auto"/>
        <w:rPr>
          <w:rFonts w:hint="default" w:ascii="Times New Roman" w:hAnsi="Times New Roman" w:cs="Times New Roman"/>
          <w:b/>
          <w:color w:val="auto"/>
          <w:sz w:val="21"/>
          <w:szCs w:val="21"/>
          <w:highlight w:val="none"/>
        </w:rPr>
      </w:pPr>
    </w:p>
    <w:p>
      <w:pPr>
        <w:pStyle w:val="22"/>
        <w:spacing w:before="0" w:beforeLines="0" w:after="0" w:afterLines="0" w:line="36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六、定标</w:t>
      </w:r>
    </w:p>
    <w:p>
      <w:pPr>
        <w:spacing w:line="360" w:lineRule="auto"/>
        <w:ind w:firstLine="420" w:firstLineChars="200"/>
        <w:rPr>
          <w:rFonts w:hint="default" w:ascii="Times New Roman" w:hAnsi="Times New Roman" w:eastAsia="宋体" w:cs="Times New Roman"/>
          <w:bCs/>
          <w:color w:val="auto"/>
          <w:szCs w:val="21"/>
          <w:highlight w:val="none"/>
          <w:lang w:eastAsia="zh-CN"/>
        </w:rPr>
      </w:pPr>
      <w:r>
        <w:rPr>
          <w:rFonts w:hint="default" w:ascii="Times New Roman" w:hAnsi="Times New Roman" w:cs="Times New Roman"/>
          <w:bCs/>
          <w:color w:val="auto"/>
          <w:szCs w:val="21"/>
          <w:highlight w:val="none"/>
        </w:rPr>
        <w:t>1.确定中标人。本项目由评审小组推荐中标候选人</w:t>
      </w:r>
      <w:r>
        <w:rPr>
          <w:rFonts w:hint="default" w:ascii="Times New Roman" w:hAnsi="Times New Roman" w:cs="Times New Roman"/>
          <w:bCs/>
          <w:color w:val="auto"/>
          <w:szCs w:val="21"/>
          <w:highlight w:val="none"/>
          <w:lang w:eastAsia="zh-CN"/>
        </w:rPr>
        <w:t>。</w:t>
      </w:r>
    </w:p>
    <w:p>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第一中标候选人为中标人。</w:t>
      </w:r>
    </w:p>
    <w:p>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3.代理机构自中标人确定之日起2个工作日内，在发布招标公告的网站上对中标结果进行公示，中标结果公告期限为1个工作日。</w:t>
      </w:r>
    </w:p>
    <w:p>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4.凡发现中标人有下列行为之一的，将移交政府采购监督管理部门依法处理：</w:t>
      </w:r>
    </w:p>
    <w:p>
      <w:pPr>
        <w:numPr>
          <w:ilvl w:val="0"/>
          <w:numId w:val="6"/>
        </w:num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提供虚假材料谋取中标的；</w:t>
      </w:r>
    </w:p>
    <w:p>
      <w:pPr>
        <w:numPr>
          <w:ilvl w:val="0"/>
          <w:numId w:val="6"/>
        </w:num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采取不正当手段诋毁、排挤其他投标人的；</w:t>
      </w:r>
    </w:p>
    <w:p>
      <w:pPr>
        <w:numPr>
          <w:ilvl w:val="0"/>
          <w:numId w:val="6"/>
        </w:num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与采购人、其他投标人或者采购代理机构工作人员恶意串通的；</w:t>
      </w:r>
    </w:p>
    <w:p>
      <w:pPr>
        <w:numPr>
          <w:ilvl w:val="0"/>
          <w:numId w:val="6"/>
        </w:num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向采购人或采购代理机构人员行贿或者提供其他不正当利益的；</w:t>
      </w:r>
    </w:p>
    <w:p>
      <w:pPr>
        <w:numPr>
          <w:ilvl w:val="0"/>
          <w:numId w:val="6"/>
        </w:num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拒绝有关部门监督检查或者提供虚假情况的；</w:t>
      </w:r>
    </w:p>
    <w:p>
      <w:pPr>
        <w:spacing w:line="360" w:lineRule="auto"/>
        <w:ind w:firstLine="420" w:firstLineChars="200"/>
        <w:rPr>
          <w:rFonts w:hint="default" w:ascii="Times New Roman" w:hAnsi="Times New Roman" w:cs="Times New Roman"/>
          <w:b/>
          <w:color w:val="auto"/>
          <w:szCs w:val="21"/>
          <w:highlight w:val="none"/>
        </w:rPr>
      </w:pPr>
      <w:r>
        <w:rPr>
          <w:rFonts w:hint="default" w:ascii="Times New Roman" w:hAnsi="Times New Roman" w:cs="Times New Roman"/>
          <w:bCs/>
          <w:color w:val="auto"/>
          <w:szCs w:val="21"/>
          <w:highlight w:val="none"/>
        </w:rPr>
        <w:t>有法律、法规规定的其他损害采购人利益和社会公共利益情形的。</w:t>
      </w: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七、评标过程的监控与保密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1.本项目评标过程实行全程录音、录像监控，投标人在评标过程中所进行的试图影响评标结果的不公正活动，可能导致其投标被拒绝。</w:t>
      </w:r>
    </w:p>
    <w:p>
      <w:pPr>
        <w:spacing w:line="360" w:lineRule="auto"/>
        <w:ind w:firstLine="420" w:firstLineChars="200"/>
        <w:rPr>
          <w:rFonts w:hint="default" w:ascii="Times New Roman" w:hAnsi="Times New Roman" w:cs="Times New Roman"/>
          <w:b/>
          <w:color w:val="auto"/>
          <w:szCs w:val="21"/>
          <w:highlight w:val="none"/>
          <w:lang w:bidi="ar"/>
        </w:rPr>
      </w:pPr>
      <w:r>
        <w:rPr>
          <w:rFonts w:hint="default" w:ascii="Times New Roman" w:hAnsi="Times New Roman" w:cs="Times New Roman"/>
          <w:color w:val="auto"/>
          <w:szCs w:val="21"/>
          <w:highlight w:val="none"/>
        </w:rPr>
        <w:t>2.开标后到中标通知书发出之前，所有涉及评审小组名单以及对投标文件的澄清、评价、比较等情况，评审小组成员、采购人和采购代理机构的有关人员均不得向投标人或其他无关人员透露。</w:t>
      </w:r>
    </w:p>
    <w:p>
      <w:pPr>
        <w:widowControl/>
        <w:spacing w:line="360" w:lineRule="auto"/>
        <w:jc w:val="left"/>
        <w:rPr>
          <w:rFonts w:hint="default" w:ascii="Times New Roman" w:hAnsi="Times New Roman" w:cs="Times New Roman"/>
          <w:b/>
          <w:color w:val="auto"/>
          <w:szCs w:val="21"/>
          <w:highlight w:val="none"/>
          <w:lang w:bidi="ar"/>
        </w:rPr>
      </w:pPr>
    </w:p>
    <w:p>
      <w:pPr>
        <w:widowControl/>
        <w:spacing w:line="360" w:lineRule="auto"/>
        <w:jc w:val="left"/>
        <w:rPr>
          <w:rFonts w:hint="default" w:ascii="Times New Roman" w:hAnsi="Times New Roman" w:cs="Times New Roman"/>
          <w:b/>
          <w:color w:val="auto"/>
          <w:szCs w:val="21"/>
          <w:highlight w:val="none"/>
          <w:lang w:bidi="ar"/>
        </w:rPr>
      </w:pPr>
      <w:r>
        <w:rPr>
          <w:rFonts w:hint="default" w:ascii="Times New Roman" w:hAnsi="Times New Roman" w:cs="Times New Roman"/>
          <w:b/>
          <w:color w:val="auto"/>
          <w:szCs w:val="21"/>
          <w:highlight w:val="none"/>
          <w:lang w:bidi="ar"/>
        </w:rPr>
        <w:t>八、合同授予</w:t>
      </w:r>
    </w:p>
    <w:p>
      <w:pPr>
        <w:widowControl/>
        <w:spacing w:line="360" w:lineRule="auto"/>
        <w:ind w:firstLine="420" w:firstLineChars="200"/>
        <w:jc w:val="left"/>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lang w:bidi="ar"/>
        </w:rPr>
        <w:t>1.采购人与中标人应当在《中标通知书》发出之日起</w:t>
      </w:r>
      <w:r>
        <w:rPr>
          <w:rFonts w:hint="default" w:ascii="Times New Roman" w:hAnsi="Times New Roman" w:cs="Times New Roman"/>
          <w:b/>
          <w:color w:val="auto"/>
          <w:szCs w:val="21"/>
          <w:highlight w:val="none"/>
          <w:u w:val="single"/>
          <w:lang w:bidi="ar"/>
        </w:rPr>
        <w:t>30</w:t>
      </w:r>
      <w:r>
        <w:rPr>
          <w:rFonts w:hint="default" w:ascii="Times New Roman" w:hAnsi="Times New Roman" w:cs="Times New Roman"/>
          <w:color w:val="auto"/>
          <w:szCs w:val="21"/>
          <w:highlight w:val="none"/>
          <w:lang w:bidi="ar"/>
        </w:rPr>
        <w:t>日内签订政府采购合同。</w:t>
      </w:r>
    </w:p>
    <w:p>
      <w:pPr>
        <w:pStyle w:val="22"/>
        <w:spacing w:before="0" w:beforeLines="0" w:after="0" w:afterLines="0" w:line="360" w:lineRule="auto"/>
        <w:rPr>
          <w:rFonts w:hint="default" w:ascii="Times New Roman" w:hAnsi="Times New Roman" w:cs="Times New Roman"/>
          <w:b/>
          <w:bCs/>
          <w:color w:val="auto"/>
          <w:sz w:val="21"/>
          <w:szCs w:val="21"/>
          <w:highlight w:val="none"/>
        </w:rPr>
      </w:pPr>
    </w:p>
    <w:p>
      <w:pPr>
        <w:pStyle w:val="22"/>
        <w:spacing w:before="0" w:beforeLines="0" w:after="0" w:afterLines="0" w:line="360" w:lineRule="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九、特别说明</w:t>
      </w:r>
    </w:p>
    <w:p>
      <w:pPr>
        <w:pStyle w:val="16"/>
        <w:spacing w:after="0" w:line="360" w:lineRule="auto"/>
        <w:ind w:firstLine="420" w:firstLineChars="200"/>
        <w:rPr>
          <w:rFonts w:hint="default" w:ascii="Times New Roman" w:hAnsi="Times New Roman" w:cs="Times New Roman"/>
          <w:color w:val="auto"/>
          <w:sz w:val="21"/>
          <w:highlight w:val="none"/>
        </w:rPr>
      </w:pPr>
      <w:bookmarkStart w:id="40" w:name="_Toc15093_WPSOffice_Level1"/>
      <w:r>
        <w:rPr>
          <w:rFonts w:hint="default" w:ascii="Times New Roman" w:hAnsi="Times New Roman" w:cs="Times New Roman"/>
          <w:color w:val="auto"/>
          <w:sz w:val="21"/>
          <w:highlight w:val="none"/>
        </w:rPr>
        <w:t>1、本项目</w:t>
      </w:r>
      <w:r>
        <w:rPr>
          <w:rFonts w:hint="default" w:ascii="Times New Roman" w:hAnsi="Times New Roman" w:cs="Times New Roman"/>
          <w:color w:val="auto"/>
          <w:sz w:val="21"/>
          <w:highlight w:val="none"/>
          <w:u w:val="single"/>
        </w:rPr>
        <w:t xml:space="preserve"> </w:t>
      </w:r>
      <w:r>
        <w:rPr>
          <w:rFonts w:hint="eastAsia" w:cs="Times New Roman"/>
          <w:b/>
          <w:bCs/>
          <w:color w:val="auto"/>
          <w:sz w:val="21"/>
          <w:highlight w:val="none"/>
          <w:u w:val="single"/>
          <w:lang w:val="en-US" w:eastAsia="zh-CN"/>
        </w:rPr>
        <w:t>是</w:t>
      </w:r>
      <w:r>
        <w:rPr>
          <w:rFonts w:hint="default" w:ascii="Times New Roman" w:hAnsi="Times New Roman" w:cs="Times New Roman"/>
          <w:b/>
          <w:bCs/>
          <w:color w:val="auto"/>
          <w:sz w:val="21"/>
          <w:highlight w:val="none"/>
          <w:u w:val="single"/>
        </w:rPr>
        <w:t xml:space="preserve"> </w:t>
      </w:r>
      <w:r>
        <w:rPr>
          <w:rFonts w:hint="default" w:ascii="Times New Roman" w:hAnsi="Times New Roman" w:cs="Times New Roman"/>
          <w:color w:val="auto"/>
          <w:sz w:val="21"/>
          <w:highlight w:val="none"/>
        </w:rPr>
        <w:t>专门面向中小企业采购</w:t>
      </w:r>
      <w:r>
        <w:rPr>
          <w:color w:val="auto"/>
          <w:sz w:val="21"/>
          <w:highlight w:val="none"/>
        </w:rPr>
        <w:t>，专门面向中小企业采购的项目，不再执行价格评审优惠的扶持政策。</w:t>
      </w:r>
    </w:p>
    <w:p>
      <w:pPr>
        <w:pStyle w:val="16"/>
        <w:spacing w:after="0" w:line="360" w:lineRule="auto"/>
        <w:ind w:firstLine="420" w:firstLineChars="200"/>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2、本项目对应的中小企业划分标准所属行业：</w:t>
      </w:r>
      <w:r>
        <w:rPr>
          <w:rFonts w:hint="default" w:ascii="Times New Roman" w:hAnsi="Times New Roman" w:cs="Times New Roman"/>
          <w:b/>
          <w:bCs/>
          <w:color w:val="auto"/>
          <w:sz w:val="21"/>
          <w:highlight w:val="none"/>
          <w:u w:val="single"/>
        </w:rPr>
        <w:t>其他未列明行业</w:t>
      </w:r>
      <w:r>
        <w:rPr>
          <w:rFonts w:hint="default" w:ascii="Times New Roman" w:hAnsi="Times New Roman" w:cs="Times New Roman"/>
          <w:color w:val="auto"/>
          <w:sz w:val="21"/>
          <w:highlight w:val="none"/>
        </w:rPr>
        <w:t xml:space="preserve">。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3、小微企业是指中华人民共和国境内依法设立，依据国务院批准的中小企业划分标准确定的小型企业和微型企业，但与大企业的负责人为同一人，或者与大企业存在直接控股、管理关系的除外。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符合中小企业划分标准的个体工商户，在政府采购活动中视同中小企业。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国务院批准的中小企业划分标准：具体见工信部联企业【2011】300号。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4、在政府采购活动中，供应商提供的货物、工程或者服务符合下列情形的，可享受小型、微型企业（以下简称小微企业）的价格扣除：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（1）在货物采购项目中，货物由小微企业制造，即货物由小微企业生产且使用该小微企业商号或者注册商标；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（2）在工程采购项目中，工程由小微企业承建，即工程施工单位为小微企业；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（3）在服务采购项目中，服务由小微企业承接，即提供服务的人员为小微企业依照《</w:t>
      </w:r>
      <w:r>
        <w:rPr>
          <w:rFonts w:hint="default" w:ascii="Times New Roman" w:hAnsi="Times New Roman" w:eastAsia="宋体" w:cs="Times New Roman"/>
          <w:color w:val="auto"/>
          <w:szCs w:val="21"/>
          <w:highlight w:val="none"/>
          <w:lang w:val="en-US" w:eastAsia="zh-CN"/>
        </w:rPr>
        <w:t>中</w:t>
      </w:r>
      <w:r>
        <w:rPr>
          <w:rFonts w:hint="default" w:ascii="Times New Roman" w:hAnsi="Times New Roman" w:eastAsia="宋体" w:cs="Times New Roman"/>
          <w:color w:val="auto"/>
          <w:szCs w:val="21"/>
          <w:highlight w:val="none"/>
        </w:rPr>
        <w:t xml:space="preserve">华人民共和国劳动合同法》订立劳动合同的从业人员。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以联合体形式参加政府采购活动，联合体各方均为小微企业的，联合体视同小微企业。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5、在货物采购项目中，供应商提供的货物既有中小企业制造货物，也有大型企业制造货物的，不享受的小微企业价格扣除。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6、本项目对符合规定的小微企业报价给予10%（工程项目为5%）的扣除，用扣除后的价格参加评审。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1%）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7、小微企业应按照采购文件格式要求提供《中小企业声明函》。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10、按规定享受扶持政策获得政府采购合同的，小微企业不得将合同分包给大中型企业，中型企业不得将合同分包给大型企业。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11、采购活动过程中，对供应商的“中小企业”资格认定，以供应商提交的《中小企业声明函》为准，供应商必须实事求是地提交声明函，如有虚假，将依法承担法律责任。如果在采 购活动过程中相关采购当事人对供应商“中小企业”资格有异议的，由货物制造商或者工程、服务供应商注册登记所在地的县级以上人民政府中小企业主管部门负责认定。供应商按照《政府采购促进中小企业发展管理办法》（财库【2020】46号）规定提供声明函内容不实的，供应商需承担相应的法律责任。 </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12、《中小企业声明函》由参加响应的供应商提交，如供应商为代理商，须自行采集制造商的中小企业划分类型信息填入相应栏目并对其真实性负责。</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13、支持绿色发展</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13.1为助力打好污染防治攻坚战，推广使用绿色包装，政府采购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13.2鼓励供应商在参加政府采购过程中开展绿色设计、选择绿色材料、打造绿色制造工艺、开展绿色运输、做好废弃产品回收处理，实现产品全周期的绿色环保。</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14、平等对待内外资企业和符合条件的破产重整企业，切实保障企业公平竞争，平等维护企业的合法利益。</w:t>
      </w:r>
    </w:p>
    <w:p>
      <w:pPr>
        <w:pStyle w:val="16"/>
        <w:spacing w:after="0" w:line="360" w:lineRule="auto"/>
        <w:ind w:firstLine="420" w:firstLineChars="200"/>
        <w:rPr>
          <w:rFonts w:hint="default" w:ascii="Times New Roman" w:hAnsi="Times New Roman" w:cs="Times New Roman"/>
          <w:color w:val="auto"/>
          <w:sz w:val="21"/>
          <w:highlight w:val="none"/>
        </w:rPr>
      </w:pPr>
    </w:p>
    <w:p>
      <w:pPr>
        <w:pStyle w:val="16"/>
        <w:spacing w:after="0" w:line="360" w:lineRule="auto"/>
        <w:ind w:firstLine="420" w:firstLineChars="200"/>
        <w:rPr>
          <w:rFonts w:hint="default" w:ascii="Times New Roman" w:hAnsi="Times New Roman" w:cs="Times New Roman"/>
          <w:color w:val="auto"/>
          <w:sz w:val="21"/>
          <w:highlight w:val="none"/>
        </w:rPr>
      </w:pPr>
    </w:p>
    <w:p>
      <w:pPr>
        <w:pStyle w:val="16"/>
        <w:spacing w:after="0" w:line="360" w:lineRule="auto"/>
        <w:ind w:firstLine="420" w:firstLineChars="200"/>
        <w:rPr>
          <w:rFonts w:hint="default" w:ascii="Times New Roman" w:hAnsi="Times New Roman" w:cs="Times New Roman"/>
          <w:color w:val="auto"/>
          <w:sz w:val="21"/>
          <w:highlight w:val="none"/>
        </w:rPr>
      </w:pPr>
    </w:p>
    <w:p>
      <w:pPr>
        <w:pStyle w:val="16"/>
        <w:spacing w:after="0" w:line="360" w:lineRule="auto"/>
        <w:ind w:firstLine="420" w:firstLineChars="200"/>
        <w:rPr>
          <w:rFonts w:hint="default" w:ascii="Times New Roman" w:hAnsi="Times New Roman" w:cs="Times New Roman"/>
          <w:color w:val="auto"/>
          <w:sz w:val="21"/>
          <w:highlight w:val="none"/>
        </w:rPr>
      </w:pPr>
    </w:p>
    <w:p>
      <w:pPr>
        <w:pStyle w:val="16"/>
        <w:spacing w:after="0" w:line="360" w:lineRule="auto"/>
        <w:ind w:firstLine="420" w:firstLineChars="200"/>
        <w:rPr>
          <w:rFonts w:hint="default" w:ascii="Times New Roman" w:hAnsi="Times New Roman" w:cs="Times New Roman"/>
          <w:color w:val="auto"/>
          <w:sz w:val="21"/>
          <w:highlight w:val="none"/>
        </w:rPr>
      </w:pPr>
    </w:p>
    <w:p>
      <w:pPr>
        <w:pStyle w:val="16"/>
        <w:spacing w:after="0" w:line="360" w:lineRule="auto"/>
        <w:ind w:firstLine="420" w:firstLineChars="200"/>
        <w:rPr>
          <w:rFonts w:hint="default" w:ascii="Times New Roman" w:hAnsi="Times New Roman" w:cs="Times New Roman"/>
          <w:color w:val="auto"/>
          <w:sz w:val="21"/>
          <w:highlight w:val="none"/>
        </w:rPr>
      </w:pPr>
    </w:p>
    <w:p>
      <w:pPr>
        <w:pStyle w:val="22"/>
        <w:snapToGrid w:val="0"/>
        <w:spacing w:before="120" w:beforeLines="0" w:after="120" w:afterLines="0" w:line="360" w:lineRule="auto"/>
        <w:jc w:val="center"/>
        <w:outlineLvl w:val="0"/>
        <w:rPr>
          <w:rFonts w:hint="default" w:ascii="Times New Roman" w:hAnsi="Times New Roman" w:cs="Times New Roman"/>
          <w:b/>
          <w:color w:val="auto"/>
          <w:highlight w:val="none"/>
        </w:rPr>
        <w:sectPr>
          <w:pgSz w:w="11906" w:h="16838"/>
          <w:pgMar w:top="1440" w:right="1803" w:bottom="1440" w:left="1803" w:header="851" w:footer="850" w:gutter="0"/>
          <w:pgNumType w:fmt="decimal"/>
          <w:cols w:space="720" w:num="1"/>
          <w:docGrid w:linePitch="312" w:charSpace="0"/>
        </w:sectPr>
      </w:pPr>
      <w:bookmarkStart w:id="41" w:name="_Toc14995"/>
      <w:bookmarkStart w:id="42" w:name="_Toc11738"/>
      <w:bookmarkStart w:id="43" w:name="_Toc26593"/>
      <w:bookmarkStart w:id="44" w:name="_Toc17971"/>
      <w:bookmarkStart w:id="45" w:name="_Toc3769"/>
      <w:bookmarkStart w:id="46" w:name="_Toc11970"/>
    </w:p>
    <w:p>
      <w:pPr>
        <w:pStyle w:val="22"/>
        <w:snapToGrid w:val="0"/>
        <w:spacing w:before="120" w:beforeLines="0" w:after="120" w:afterLines="0" w:line="360" w:lineRule="auto"/>
        <w:jc w:val="center"/>
        <w:outlineLvl w:val="0"/>
        <w:rPr>
          <w:rFonts w:hint="default" w:ascii="Times New Roman" w:hAnsi="Times New Roman" w:cs="Times New Roman"/>
          <w:b/>
          <w:color w:val="auto"/>
          <w:highlight w:val="none"/>
        </w:rPr>
      </w:pPr>
      <w:bookmarkStart w:id="47" w:name="_Toc2116"/>
      <w:r>
        <w:rPr>
          <w:rFonts w:hint="default" w:ascii="Times New Roman" w:hAnsi="Times New Roman" w:cs="Times New Roman"/>
          <w:b/>
          <w:color w:val="auto"/>
          <w:highlight w:val="none"/>
        </w:rPr>
        <w:t>第四章 评标办法及评分标准</w:t>
      </w:r>
      <w:bookmarkEnd w:id="40"/>
      <w:bookmarkEnd w:id="41"/>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一、总则</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招标活动遵循公平、公正、科学、择优的原则依法进行，招标活动及当事人接受依法实施的监督。本次招标采用综合评分法。</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二、评标组织</w:t>
      </w:r>
      <w:r>
        <w:rPr>
          <w:rFonts w:hint="default" w:ascii="Times New Roman" w:hAnsi="Times New Roman" w:cs="Times New Roman"/>
          <w:b/>
          <w:bCs/>
          <w:color w:val="auto"/>
          <w:szCs w:val="21"/>
          <w:highlight w:val="none"/>
        </w:rPr>
        <w:tab/>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评审小组依法组建。</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三、评标程序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1.采购代理机构按《招标文件》规定的时间、地点组织进行开标。开标会议由采购代理机构组织，按《招标文件》的规定对投标人的基本情况进行审核。</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机构首先开启各投标人的技术商务文件和资格证明文件，技术商务文件和资格证明文件开标结束后，采购人或者采购代理机构对投标人的资格进行审查，评审小组根据《招标文件》规定对投标人的技术商务文件进行符合商务性审查和详细评审。对投标人表述不清的内容，评审小组将向投标人进行询标，请其澄清其技术商务内容，评标委员再根据各投标人的技术商务文件进行综合评分，并进行技术分的汇总（技术商务部分得分保留小数点后二位）。</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技术商务文件评审结束后，采购代理机构宣布无效投标人名称及原因（如有）、各有效投标人的技术商务得分；再由采购代理机构开启报价文件，公布投标人名称、投标内容、投标价格等以及代理机构认为合适的其他内容，并做开标记录。评审小组对报价文件进行评审，计算价格分得分（报价文件得分保留小数点后二位）。</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4.按照投标人的综合得分排名，评审小组推荐中标候选人，并由采购代理机构宣布中标候选人推荐情况。</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四、评标过程</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1.资格审查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采购人或者采购代理机构对投标人的资格进行审查。依据法律法规和招标文件的规定，对投标文件中的资格证明进行审查，以确定投标人是否具备投标资格。</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2.符合性审查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依据招标文件的规定，从投标人投标文件的有效性、完整性和对招标文件的响应程度进行审查，以确定是否对招标文件的实质性要求作出响应。</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3.澄清问题</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对于投标文件中含义不明确、同类问题表述不一致或者有明显文字和计算错误的内容，评审小组可要求投标人以书面形式作出必要的澄清、说明或者补正。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投标人的澄清、说明或者补正应当采用书面形式，并加盖公章，投标人的澄清、说明或者补正不得超出投标文件的范围或者改变投标文件的实质性内容。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4.详细评审</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评审小组对初步评审合格的投标文件，依照本办法对投标文件作进一步评审、比较。评审小组成员经过阅标、审标和询标，对各投标人进行打分。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委打分参照本部分五、评分标准。技术商务得分由各评审小组成员打分，根据投标人的投标文件及相关澄清文件，进行独立打分。价格分由评审小组统一核算。评委打分采用记名方式，取所有评委汇总得分的算术平均分（小数点后保留二位小数）。</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注：1）评审小组对拟认定为投标文件无效的，应组织相关投标人代表进行陈述、澄清或申辩；</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2）代理机构可协助评审小组组长评委对打分结果进行校对、核对并汇总统计；对明显畸高、畸低的评分（评审小组</w:t>
      </w:r>
      <w:r>
        <w:rPr>
          <w:rFonts w:hint="default" w:ascii="Times New Roman" w:hAnsi="Times New Roman" w:cs="Times New Roman"/>
          <w:b/>
          <w:color w:val="auto"/>
          <w:szCs w:val="21"/>
          <w:highlight w:val="none"/>
          <w:lang w:val="en-US" w:eastAsia="zh-CN"/>
        </w:rPr>
        <w:t>成员个人主观打分偏离所有评审小组成员主观打分平均值30%以上的</w:t>
      </w:r>
      <w:r>
        <w:rPr>
          <w:rFonts w:hint="default" w:ascii="Times New Roman" w:hAnsi="Times New Roman" w:cs="Times New Roman"/>
          <w:b/>
          <w:color w:val="auto"/>
          <w:szCs w:val="21"/>
          <w:highlight w:val="none"/>
        </w:rPr>
        <w:t>），评审小组组长评委应提醒相关评审小组成员进行复核或书面说明理由，评审小组成员拒绝说明的，由现场监督员据实记录；评审小组成员的评审、修改记录应保留原件，随项目其他资料一并存档；</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3）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5.中标原则</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评审小组根据投标人的综合得分由高到低排定顺序，推荐综合得分排名第一的投标人为本项目的第一中标候选人。如</w:t>
      </w:r>
      <w:r>
        <w:rPr>
          <w:rFonts w:hint="default" w:ascii="Times New Roman" w:hAnsi="Times New Roman" w:cs="Times New Roman"/>
          <w:bCs/>
          <w:color w:val="auto"/>
          <w:szCs w:val="21"/>
          <w:highlight w:val="none"/>
        </w:rPr>
        <w:t>投标人综合得分相同的则价格低者优先中标；若技术商务标得分也相同，则由投标人抽签决定。如评标过程中出现本招标文件未尽事宜，则由评审小组讨论决定。</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6.中标结果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代理机构将中标结果在政府采购指定媒体上公示，并向中标人发出中标通知书。</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五、评分标准</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第一阶段：技术商务部分评审</w:t>
      </w:r>
    </w:p>
    <w:tbl>
      <w:tblPr>
        <w:tblStyle w:val="38"/>
        <w:tblW w:w="92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8"/>
        <w:gridCol w:w="8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restart"/>
            <w:noWrap w:val="0"/>
            <w:vAlign w:val="center"/>
          </w:tcPr>
          <w:p>
            <w:pPr>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技术</w:t>
            </w:r>
          </w:p>
          <w:p>
            <w:pPr>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商务</w:t>
            </w:r>
          </w:p>
          <w:p>
            <w:pPr>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得分</w:t>
            </w:r>
          </w:p>
          <w:p>
            <w:pPr>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90</w:t>
            </w:r>
            <w:r>
              <w:rPr>
                <w:rFonts w:hint="default" w:ascii="Times New Roman" w:hAnsi="Times New Roman" w:cs="Times New Roman"/>
                <w:b/>
                <w:bCs/>
                <w:color w:val="auto"/>
                <w:szCs w:val="21"/>
                <w:highlight w:val="none"/>
              </w:rPr>
              <w:t>分</w:t>
            </w:r>
          </w:p>
        </w:tc>
        <w:tc>
          <w:tcPr>
            <w:tcW w:w="8373" w:type="dxa"/>
            <w:noWrap w:val="0"/>
            <w:vAlign w:val="center"/>
          </w:tcPr>
          <w:p>
            <w:pPr>
              <w:spacing w:line="400" w:lineRule="exact"/>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1、企业业绩（1分）</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供应商自202</w:t>
            </w:r>
            <w:r>
              <w:rPr>
                <w:rFonts w:hint="eastAsia"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年1月1日以来（以合同签订时间为准）完成过城乡文明程度考核服务项目类似业绩，每个业绩得0.5分，最高得1分。</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（投标文件中须提供合同复印件，未提供不得分。）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pPr>
              <w:spacing w:line="300" w:lineRule="exact"/>
              <w:jc w:val="center"/>
              <w:rPr>
                <w:rFonts w:hint="default" w:ascii="Times New Roman" w:hAnsi="Times New Roman" w:cs="Times New Roman"/>
                <w:b/>
                <w:bCs/>
                <w:color w:val="auto"/>
                <w:szCs w:val="21"/>
                <w:highlight w:val="none"/>
                <w:lang w:val="en-US" w:eastAsia="zh-CN"/>
              </w:rPr>
            </w:pPr>
          </w:p>
        </w:tc>
        <w:tc>
          <w:tcPr>
            <w:tcW w:w="8373" w:type="dxa"/>
            <w:noWrap w:val="0"/>
            <w:vAlign w:val="center"/>
          </w:tcPr>
          <w:p>
            <w:pPr>
              <w:spacing w:line="400" w:lineRule="exact"/>
              <w:rPr>
                <w:rFonts w:hint="default"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lang w:val="en-US" w:eastAsia="zh-CN"/>
              </w:rPr>
              <w:t>体系认证（3分）</w:t>
            </w:r>
          </w:p>
          <w:p>
            <w:pPr>
              <w:spacing w:line="400" w:lineRule="exac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供应商须具有有效期内质量管理体系认证</w:t>
            </w:r>
            <w:r>
              <w:rPr>
                <w:rFonts w:hint="default" w:ascii="Times New Roman" w:hAnsi="Times New Roman" w:eastAsia="宋体" w:cs="Times New Roman"/>
                <w:color w:val="auto"/>
                <w:szCs w:val="21"/>
                <w:highlight w:val="none"/>
                <w:lang w:val="en-US" w:eastAsia="zh-CN"/>
              </w:rPr>
              <w:t>的得1.5分，具有</w:t>
            </w:r>
            <w:r>
              <w:rPr>
                <w:rFonts w:hint="default" w:ascii="Times New Roman" w:hAnsi="Times New Roman" w:eastAsia="宋体" w:cs="Times New Roman"/>
                <w:color w:val="auto"/>
                <w:szCs w:val="21"/>
                <w:highlight w:val="none"/>
                <w:lang w:eastAsia="zh-CN"/>
              </w:rPr>
              <w:t>有效期内环境管理体系认证的得</w:t>
            </w:r>
            <w:r>
              <w:rPr>
                <w:rFonts w:hint="default" w:ascii="Times New Roman" w:hAnsi="Times New Roman" w:eastAsia="宋体" w:cs="Times New Roman"/>
                <w:color w:val="auto"/>
                <w:szCs w:val="21"/>
                <w:highlight w:val="none"/>
                <w:lang w:val="en-US" w:eastAsia="zh-CN"/>
              </w:rPr>
              <w:t>1.5</w:t>
            </w:r>
            <w:r>
              <w:rPr>
                <w:rFonts w:hint="default" w:ascii="Times New Roman" w:hAnsi="Times New Roman" w:eastAsia="宋体" w:cs="Times New Roman"/>
                <w:color w:val="auto"/>
                <w:szCs w:val="21"/>
                <w:highlight w:val="none"/>
                <w:lang w:eastAsia="zh-CN"/>
              </w:rPr>
              <w:t>分，</w:t>
            </w:r>
            <w:r>
              <w:rPr>
                <w:rFonts w:hint="default" w:ascii="Times New Roman" w:hAnsi="Times New Roman" w:eastAsia="宋体" w:cs="Times New Roman"/>
                <w:color w:val="auto"/>
                <w:szCs w:val="21"/>
                <w:highlight w:val="none"/>
                <w:lang w:val="en-US" w:eastAsia="zh-CN"/>
              </w:rPr>
              <w:t>本项满分3</w:t>
            </w:r>
            <w:r>
              <w:rPr>
                <w:rFonts w:hint="default" w:ascii="Times New Roman" w:hAnsi="Times New Roman" w:eastAsia="宋体" w:cs="Times New Roman"/>
                <w:color w:val="auto"/>
                <w:szCs w:val="21"/>
                <w:highlight w:val="none"/>
                <w:lang w:eastAsia="zh-CN"/>
              </w:rPr>
              <w:t>分。</w:t>
            </w:r>
          </w:p>
          <w:p>
            <w:pPr>
              <w:spacing w:line="400" w:lineRule="exac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（投标</w:t>
            </w:r>
            <w:r>
              <w:rPr>
                <w:rFonts w:hint="default" w:ascii="Times New Roman" w:hAnsi="Times New Roman" w:eastAsia="宋体" w:cs="Times New Roman"/>
                <w:color w:val="auto"/>
                <w:szCs w:val="21"/>
                <w:highlight w:val="none"/>
                <w:lang w:val="zh-CN" w:eastAsia="zh-CN"/>
              </w:rPr>
              <w:t>文件中须</w:t>
            </w:r>
            <w:r>
              <w:rPr>
                <w:rFonts w:hint="default" w:ascii="Times New Roman" w:hAnsi="Times New Roman" w:eastAsia="宋体" w:cs="Times New Roman"/>
                <w:color w:val="auto"/>
                <w:szCs w:val="21"/>
                <w:highlight w:val="none"/>
                <w:lang w:val="en-US" w:eastAsia="zh-CN"/>
              </w:rPr>
              <w:t>提供认证证书复印件，未提供不得分。）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vAlign w:val="center"/>
          </w:tcPr>
          <w:p>
            <w:pPr>
              <w:spacing w:line="300" w:lineRule="exact"/>
              <w:jc w:val="center"/>
              <w:rPr>
                <w:rFonts w:hint="default" w:ascii="Times New Roman" w:hAnsi="Times New Roman" w:cs="Times New Roman"/>
                <w:b/>
                <w:bCs/>
                <w:color w:val="auto"/>
                <w:szCs w:val="21"/>
                <w:highlight w:val="none"/>
                <w:lang w:val="en-US" w:eastAsia="zh-CN"/>
              </w:rPr>
            </w:pPr>
          </w:p>
        </w:tc>
        <w:tc>
          <w:tcPr>
            <w:tcW w:w="8373" w:type="dxa"/>
            <w:noWrap w:val="0"/>
            <w:vAlign w:val="center"/>
          </w:tcPr>
          <w:p>
            <w:pPr>
              <w:spacing w:line="400" w:lineRule="exact"/>
              <w:rPr>
                <w:rFonts w:hint="default" w:ascii="Times New Roman" w:hAnsi="Times New Roman" w:cs="Times New Roman"/>
                <w:b/>
                <w:bCs/>
                <w:color w:val="auto"/>
                <w:szCs w:val="21"/>
                <w:highlight w:val="none"/>
                <w:lang w:val="en-US" w:eastAsia="zh-CN"/>
              </w:rPr>
            </w:pPr>
            <w:r>
              <w:rPr>
                <w:rFonts w:hint="eastAsia" w:cs="Times New Roman"/>
                <w:b/>
                <w:bCs/>
                <w:color w:val="auto"/>
                <w:szCs w:val="21"/>
                <w:highlight w:val="none"/>
                <w:lang w:val="en-US" w:eastAsia="zh-CN"/>
              </w:rPr>
              <w:t>3</w:t>
            </w:r>
            <w:r>
              <w:rPr>
                <w:rFonts w:hint="default" w:ascii="Times New Roman" w:hAnsi="Times New Roman" w:cs="Times New Roman"/>
                <w:b/>
                <w:bCs/>
                <w:color w:val="auto"/>
                <w:szCs w:val="21"/>
                <w:highlight w:val="none"/>
                <w:lang w:val="en-US" w:eastAsia="zh-CN"/>
              </w:rPr>
              <w:t>、项目人员配备（</w:t>
            </w:r>
            <w:r>
              <w:rPr>
                <w:rFonts w:hint="eastAsia" w:cs="Times New Roman"/>
                <w:b/>
                <w:bCs/>
                <w:color w:val="auto"/>
                <w:szCs w:val="21"/>
                <w:highlight w:val="none"/>
                <w:lang w:val="en-US" w:eastAsia="zh-CN"/>
              </w:rPr>
              <w:t>8</w:t>
            </w:r>
            <w:r>
              <w:rPr>
                <w:rFonts w:hint="default" w:ascii="Times New Roman" w:hAnsi="Times New Roman" w:cs="Times New Roman"/>
                <w:b/>
                <w:bCs/>
                <w:color w:val="auto"/>
                <w:szCs w:val="21"/>
                <w:highlight w:val="none"/>
                <w:lang w:val="en-US" w:eastAsia="zh-CN"/>
              </w:rPr>
              <w:t>分）</w:t>
            </w:r>
          </w:p>
          <w:p>
            <w:pPr>
              <w:spacing w:line="400" w:lineRule="exact"/>
              <w:rPr>
                <w:rFonts w:hint="default" w:ascii="Times New Roman" w:hAnsi="Times New Roman" w:cs="Times New Roman"/>
                <w:b/>
                <w:bCs/>
                <w:color w:val="auto"/>
                <w:szCs w:val="21"/>
                <w:highlight w:val="none"/>
                <w:lang w:val="en-US" w:eastAsia="zh-CN"/>
              </w:rPr>
            </w:pPr>
            <w:r>
              <w:rPr>
                <w:rFonts w:hint="eastAsia" w:cs="Times New Roman"/>
                <w:b/>
                <w:bCs/>
                <w:color w:val="auto"/>
                <w:szCs w:val="21"/>
                <w:highlight w:val="none"/>
                <w:lang w:val="en-US" w:eastAsia="zh-CN"/>
              </w:rPr>
              <w:t>3.1</w:t>
            </w:r>
            <w:r>
              <w:rPr>
                <w:rFonts w:hint="default" w:ascii="Times New Roman" w:hAnsi="Times New Roman" w:cs="Times New Roman"/>
                <w:b/>
                <w:bCs/>
                <w:color w:val="auto"/>
                <w:szCs w:val="21"/>
                <w:highlight w:val="none"/>
                <w:lang w:val="en-US" w:eastAsia="zh-CN"/>
              </w:rPr>
              <w:t>根据供应商拟投入本项目人员安排和岗位设置的合理性进行评定</w:t>
            </w:r>
            <w:r>
              <w:rPr>
                <w:rFonts w:hint="eastAsia" w:cs="Times New Roman"/>
                <w:b/>
                <w:bCs/>
                <w:color w:val="auto"/>
                <w:szCs w:val="21"/>
                <w:highlight w:val="none"/>
                <w:lang w:val="en-US" w:eastAsia="zh-CN"/>
              </w:rPr>
              <w:t>：</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人员岗位配置完整得</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lang w:val="en-US" w:eastAsia="zh-CN"/>
              </w:rPr>
              <w:t>分；</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人员岗位配置欠完整得</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lang w:val="en-US" w:eastAsia="zh-CN"/>
              </w:rPr>
              <w:t>分；</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人员岗位配置不完善得</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lang w:val="en-US" w:eastAsia="zh-CN"/>
              </w:rPr>
              <w:t>分；</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未提供内容不得分</w:t>
            </w:r>
            <w:r>
              <w:rPr>
                <w:rFonts w:hint="eastAsia" w:ascii="Times New Roman" w:hAnsi="Times New Roman" w:cs="Times New Roman"/>
                <w:color w:val="auto"/>
                <w:szCs w:val="21"/>
                <w:highlight w:val="none"/>
                <w:lang w:val="en-US" w:eastAsia="zh-CN"/>
              </w:rPr>
              <w:t>。</w:t>
            </w:r>
          </w:p>
          <w:p>
            <w:pPr>
              <w:spacing w:line="400" w:lineRule="exact"/>
              <w:rPr>
                <w:rFonts w:hint="default" w:ascii="Times New Roman" w:hAnsi="Times New Roman" w:cs="Times New Roman"/>
                <w:b/>
                <w:bCs/>
                <w:color w:val="auto"/>
                <w:szCs w:val="21"/>
                <w:highlight w:val="none"/>
                <w:lang w:val="en-US" w:eastAsia="zh-CN"/>
              </w:rPr>
            </w:pPr>
            <w:r>
              <w:rPr>
                <w:rFonts w:hint="eastAsia" w:cs="Times New Roman"/>
                <w:b/>
                <w:bCs/>
                <w:color w:val="auto"/>
                <w:szCs w:val="21"/>
                <w:highlight w:val="none"/>
                <w:lang w:val="en-US" w:eastAsia="zh-CN"/>
              </w:rPr>
              <w:t>3.2</w:t>
            </w:r>
            <w:r>
              <w:rPr>
                <w:rFonts w:hint="default" w:ascii="Times New Roman" w:hAnsi="Times New Roman" w:cs="Times New Roman"/>
                <w:b/>
                <w:bCs/>
                <w:color w:val="auto"/>
                <w:szCs w:val="21"/>
                <w:highlight w:val="none"/>
                <w:lang w:val="en-US" w:eastAsia="zh-CN"/>
              </w:rPr>
              <w:t>根据供应商拟投入本项目人员的相关项目经验进行评定</w:t>
            </w:r>
            <w:r>
              <w:rPr>
                <w:rFonts w:hint="eastAsia" w:cs="Times New Roman"/>
                <w:b/>
                <w:bCs/>
                <w:color w:val="auto"/>
                <w:szCs w:val="21"/>
                <w:highlight w:val="none"/>
                <w:lang w:val="en-US" w:eastAsia="zh-CN"/>
              </w:rPr>
              <w:t>：</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项目人员实际经验丰富得</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lang w:val="en-US" w:eastAsia="zh-CN"/>
              </w:rPr>
              <w:t>分，</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项目人员实际经验欠丰富得</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lang w:val="en-US" w:eastAsia="zh-CN"/>
              </w:rPr>
              <w:t>分，</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项目人员实际经验欠缺得</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lang w:val="en-US" w:eastAsia="zh-CN"/>
              </w:rPr>
              <w:t>分。</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未提供内容不得分</w:t>
            </w:r>
            <w:r>
              <w:rPr>
                <w:rFonts w:hint="eastAsia" w:ascii="Times New Roman" w:hAnsi="Times New Roma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vAlign w:val="center"/>
          </w:tcPr>
          <w:p>
            <w:pPr>
              <w:spacing w:line="300" w:lineRule="exact"/>
              <w:jc w:val="center"/>
              <w:rPr>
                <w:rFonts w:hint="default" w:ascii="Times New Roman" w:hAnsi="Times New Roman" w:cs="Times New Roman"/>
                <w:b/>
                <w:bCs/>
                <w:color w:val="auto"/>
                <w:szCs w:val="21"/>
                <w:highlight w:val="none"/>
                <w:lang w:val="en-US" w:eastAsia="zh-CN"/>
              </w:rPr>
            </w:pPr>
          </w:p>
        </w:tc>
        <w:tc>
          <w:tcPr>
            <w:tcW w:w="8373" w:type="dxa"/>
            <w:noWrap w:val="0"/>
            <w:vAlign w:val="center"/>
          </w:tcPr>
          <w:p>
            <w:pPr>
              <w:spacing w:line="400" w:lineRule="exact"/>
              <w:rPr>
                <w:rFonts w:hint="default" w:ascii="Times New Roman" w:hAnsi="Times New Roman" w:cs="Times New Roman"/>
                <w:b/>
                <w:bCs/>
                <w:color w:val="auto"/>
                <w:szCs w:val="21"/>
                <w:highlight w:val="none"/>
                <w:lang w:val="en-US" w:eastAsia="zh-CN"/>
              </w:rPr>
            </w:pPr>
            <w:r>
              <w:rPr>
                <w:rFonts w:hint="eastAsia" w:cs="Times New Roman"/>
                <w:b/>
                <w:bCs/>
                <w:color w:val="auto"/>
                <w:szCs w:val="21"/>
                <w:highlight w:val="none"/>
                <w:lang w:val="en-US" w:eastAsia="zh-CN"/>
              </w:rPr>
              <w:t>4</w:t>
            </w:r>
            <w:r>
              <w:rPr>
                <w:rFonts w:hint="default" w:ascii="Times New Roman" w:hAnsi="Times New Roman" w:cs="Times New Roman"/>
                <w:b/>
                <w:bCs/>
                <w:color w:val="auto"/>
                <w:szCs w:val="21"/>
                <w:highlight w:val="none"/>
                <w:lang w:val="en-US" w:eastAsia="zh-CN"/>
              </w:rPr>
              <w:t>、</w:t>
            </w:r>
            <w:r>
              <w:rPr>
                <w:rFonts w:hint="default" w:ascii="Times New Roman" w:hAnsi="Times New Roman" w:cs="Times New Roman"/>
                <w:b/>
                <w:bCs/>
                <w:color w:val="auto"/>
                <w:szCs w:val="21"/>
                <w:highlight w:val="none"/>
              </w:rPr>
              <w:t>项目现状的熟悉程度和应对措施</w:t>
            </w:r>
            <w:r>
              <w:rPr>
                <w:rFonts w:hint="default" w:ascii="Times New Roman" w:hAnsi="Times New Roman" w:cs="Times New Roman"/>
                <w:b/>
                <w:bCs/>
                <w:color w:val="auto"/>
                <w:szCs w:val="21"/>
                <w:highlight w:val="none"/>
                <w:lang w:val="en-US" w:eastAsia="zh-CN"/>
              </w:rPr>
              <w:t>（</w:t>
            </w:r>
            <w:r>
              <w:rPr>
                <w:rFonts w:hint="eastAsia" w:cs="Times New Roman"/>
                <w:b/>
                <w:bCs/>
                <w:color w:val="auto"/>
                <w:szCs w:val="21"/>
                <w:highlight w:val="none"/>
                <w:lang w:val="en-US" w:eastAsia="zh-CN"/>
              </w:rPr>
              <w:t>8</w:t>
            </w:r>
            <w:r>
              <w:rPr>
                <w:rFonts w:hint="default" w:ascii="Times New Roman" w:hAnsi="Times New Roman" w:cs="Times New Roman"/>
                <w:b/>
                <w:bCs/>
                <w:color w:val="auto"/>
                <w:szCs w:val="21"/>
                <w:highlight w:val="none"/>
                <w:lang w:val="en-US" w:eastAsia="zh-CN"/>
              </w:rPr>
              <w:t>分）</w:t>
            </w:r>
          </w:p>
          <w:p>
            <w:pPr>
              <w:spacing w:line="400" w:lineRule="exact"/>
              <w:rPr>
                <w:rFonts w:hint="default" w:ascii="Times New Roman" w:hAnsi="Times New Roman" w:cs="Times New Roman"/>
                <w:b/>
                <w:bCs/>
                <w:color w:val="auto"/>
                <w:szCs w:val="21"/>
                <w:highlight w:val="none"/>
                <w:lang w:val="en-US" w:eastAsia="zh-CN"/>
              </w:rPr>
            </w:pPr>
            <w:r>
              <w:rPr>
                <w:rFonts w:hint="eastAsia" w:cs="Times New Roman"/>
                <w:b/>
                <w:bCs/>
                <w:color w:val="auto"/>
                <w:szCs w:val="21"/>
                <w:highlight w:val="none"/>
                <w:lang w:val="en-US" w:eastAsia="zh-CN"/>
              </w:rPr>
              <w:t>4.1</w:t>
            </w:r>
            <w:r>
              <w:rPr>
                <w:rFonts w:hint="default" w:ascii="Times New Roman" w:hAnsi="Times New Roman" w:cs="Times New Roman"/>
                <w:b/>
                <w:bCs/>
                <w:color w:val="auto"/>
                <w:szCs w:val="21"/>
                <w:highlight w:val="none"/>
                <w:lang w:val="en-US" w:eastAsia="zh-CN"/>
              </w:rPr>
              <w:t>对本项目的现状熟悉程度全面性、整体性进行评定</w:t>
            </w:r>
            <w:r>
              <w:rPr>
                <w:rFonts w:hint="eastAsia" w:cs="Times New Roman"/>
                <w:b/>
                <w:bCs/>
                <w:color w:val="auto"/>
                <w:szCs w:val="21"/>
                <w:highlight w:val="none"/>
                <w:lang w:val="en-US" w:eastAsia="zh-CN"/>
              </w:rPr>
              <w:t>：</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熟悉程度完整得</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lang w:val="en-US" w:eastAsia="zh-CN"/>
              </w:rPr>
              <w:t>分，</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熟悉程度一般得3分，</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熟悉程度欠缺得</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lang w:val="en-US" w:eastAsia="zh-CN"/>
              </w:rPr>
              <w:t>分；</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未提供内容不得分</w:t>
            </w:r>
            <w:r>
              <w:rPr>
                <w:rFonts w:hint="eastAsia" w:ascii="Times New Roman" w:hAnsi="Times New Roman" w:cs="Times New Roman"/>
                <w:color w:val="auto"/>
                <w:szCs w:val="21"/>
                <w:highlight w:val="none"/>
                <w:lang w:val="en-US" w:eastAsia="zh-CN"/>
              </w:rPr>
              <w:t>。</w:t>
            </w:r>
          </w:p>
          <w:p>
            <w:pPr>
              <w:spacing w:line="400" w:lineRule="exact"/>
              <w:rPr>
                <w:rFonts w:hint="default" w:ascii="Times New Roman" w:hAnsi="Times New Roman" w:cs="Times New Roman"/>
                <w:b/>
                <w:bCs/>
                <w:color w:val="auto"/>
                <w:szCs w:val="21"/>
                <w:highlight w:val="none"/>
                <w:lang w:val="en-US" w:eastAsia="zh-CN"/>
              </w:rPr>
            </w:pPr>
            <w:r>
              <w:rPr>
                <w:rFonts w:hint="eastAsia" w:cs="Times New Roman"/>
                <w:b/>
                <w:bCs/>
                <w:color w:val="auto"/>
                <w:szCs w:val="21"/>
                <w:highlight w:val="none"/>
                <w:lang w:val="en-US" w:eastAsia="zh-CN"/>
              </w:rPr>
              <w:t>4.2</w:t>
            </w:r>
            <w:r>
              <w:rPr>
                <w:rFonts w:hint="default" w:ascii="Times New Roman" w:hAnsi="Times New Roman" w:cs="Times New Roman"/>
                <w:b/>
                <w:bCs/>
                <w:color w:val="auto"/>
                <w:szCs w:val="21"/>
                <w:highlight w:val="none"/>
                <w:lang w:val="en-US" w:eastAsia="zh-CN"/>
              </w:rPr>
              <w:t>对本项目的应对措施科学性、合理性进行评定，</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应对措施完整得</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lang w:val="en-US" w:eastAsia="zh-CN"/>
              </w:rPr>
              <w:t>分</w:t>
            </w:r>
            <w:r>
              <w:rPr>
                <w:rFonts w:hint="eastAsia" w:cs="Times New Roman"/>
                <w:color w:val="auto"/>
                <w:szCs w:val="21"/>
                <w:highlight w:val="none"/>
                <w:lang w:val="en-US" w:eastAsia="zh-CN"/>
              </w:rPr>
              <w:t>；</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应对措施一般得3分</w:t>
            </w:r>
            <w:r>
              <w:rPr>
                <w:rFonts w:hint="eastAsia" w:cs="Times New Roman"/>
                <w:color w:val="auto"/>
                <w:szCs w:val="21"/>
                <w:highlight w:val="none"/>
                <w:lang w:val="en-US" w:eastAsia="zh-CN"/>
              </w:rPr>
              <w:t>；</w:t>
            </w:r>
          </w:p>
          <w:p>
            <w:pPr>
              <w:spacing w:line="40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应对措施欠缺得</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lang w:val="en-US" w:eastAsia="zh-CN"/>
              </w:rPr>
              <w:t>分</w:t>
            </w:r>
            <w:r>
              <w:rPr>
                <w:rFonts w:hint="eastAsia" w:cs="Times New Roman"/>
                <w:color w:val="auto"/>
                <w:szCs w:val="21"/>
                <w:highlight w:val="none"/>
                <w:lang w:val="en-US" w:eastAsia="zh-CN"/>
              </w:rPr>
              <w:t>；</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未提供内容不得分</w:t>
            </w:r>
            <w:r>
              <w:rPr>
                <w:rFonts w:hint="eastAsia" w:ascii="Times New Roman" w:hAnsi="Times New Roma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vAlign w:val="center"/>
          </w:tcPr>
          <w:p>
            <w:pPr>
              <w:spacing w:line="300" w:lineRule="exact"/>
              <w:jc w:val="center"/>
              <w:rPr>
                <w:rFonts w:hint="default" w:ascii="Times New Roman" w:hAnsi="Times New Roman" w:cs="Times New Roman"/>
                <w:b/>
                <w:bCs/>
                <w:color w:val="auto"/>
                <w:szCs w:val="21"/>
                <w:highlight w:val="none"/>
                <w:lang w:val="en-US" w:eastAsia="zh-CN"/>
              </w:rPr>
            </w:pPr>
          </w:p>
        </w:tc>
        <w:tc>
          <w:tcPr>
            <w:tcW w:w="8373" w:type="dxa"/>
            <w:noWrap w:val="0"/>
            <w:vAlign w:val="center"/>
          </w:tcPr>
          <w:p>
            <w:pPr>
              <w:spacing w:line="400" w:lineRule="exact"/>
              <w:rPr>
                <w:rFonts w:hint="default"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5、</w:t>
            </w:r>
            <w:r>
              <w:rPr>
                <w:rFonts w:hint="default" w:ascii="Times New Roman" w:hAnsi="Times New Roman" w:eastAsia="宋体" w:cs="Times New Roman"/>
                <w:b/>
                <w:bCs/>
                <w:color w:val="auto"/>
                <w:szCs w:val="21"/>
                <w:highlight w:val="none"/>
                <w:lang w:val="en-US" w:eastAsia="zh-CN"/>
              </w:rPr>
              <w:t>针对本项目难点分析及解决措施（</w:t>
            </w:r>
            <w:r>
              <w:rPr>
                <w:rFonts w:hint="eastAsia" w:cs="Times New Roman"/>
                <w:b/>
                <w:bCs/>
                <w:color w:val="auto"/>
                <w:szCs w:val="21"/>
                <w:highlight w:val="none"/>
                <w:lang w:val="en-US" w:eastAsia="zh-CN"/>
              </w:rPr>
              <w:t>8</w:t>
            </w:r>
            <w:r>
              <w:rPr>
                <w:rFonts w:hint="default" w:ascii="Times New Roman" w:hAnsi="Times New Roman" w:eastAsia="宋体" w:cs="Times New Roman"/>
                <w:b/>
                <w:bCs/>
                <w:color w:val="auto"/>
                <w:szCs w:val="21"/>
                <w:highlight w:val="none"/>
                <w:lang w:val="en-US" w:eastAsia="zh-CN"/>
              </w:rPr>
              <w:t>分）</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对本项目可能存在的问题和巡查服务的难点问题进行评定，</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重点、难点分析完整得</w:t>
            </w:r>
            <w:r>
              <w:rPr>
                <w:rFonts w:hint="eastAsia" w:cs="Times New Roman"/>
                <w:color w:val="auto"/>
                <w:szCs w:val="21"/>
                <w:highlight w:val="none"/>
                <w:lang w:val="en-US" w:eastAsia="zh-CN"/>
              </w:rPr>
              <w:t>8</w:t>
            </w:r>
            <w:r>
              <w:rPr>
                <w:rFonts w:hint="default" w:ascii="Times New Roman" w:hAnsi="Times New Roman" w:eastAsia="宋体" w:cs="Times New Roman"/>
                <w:color w:val="auto"/>
                <w:szCs w:val="21"/>
                <w:highlight w:val="none"/>
                <w:lang w:val="en-US" w:eastAsia="zh-CN"/>
              </w:rPr>
              <w:t>分</w:t>
            </w:r>
            <w:r>
              <w:rPr>
                <w:rFonts w:hint="eastAsia" w:cs="Times New Roman"/>
                <w:color w:val="auto"/>
                <w:szCs w:val="21"/>
                <w:highlight w:val="none"/>
                <w:lang w:val="en-US" w:eastAsia="zh-CN"/>
              </w:rPr>
              <w:t>；</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重点、难点分析欠完整得</w:t>
            </w:r>
            <w:r>
              <w:rPr>
                <w:rFonts w:hint="eastAsia" w:cs="Times New Roman"/>
                <w:color w:val="auto"/>
                <w:szCs w:val="21"/>
                <w:highlight w:val="none"/>
                <w:lang w:val="en-US" w:eastAsia="zh-CN"/>
              </w:rPr>
              <w:t>6</w:t>
            </w:r>
            <w:r>
              <w:rPr>
                <w:rFonts w:hint="default" w:ascii="Times New Roman" w:hAnsi="Times New Roman" w:eastAsia="宋体" w:cs="Times New Roman"/>
                <w:color w:val="auto"/>
                <w:szCs w:val="21"/>
                <w:highlight w:val="none"/>
                <w:lang w:val="en-US" w:eastAsia="zh-CN"/>
              </w:rPr>
              <w:t>分</w:t>
            </w:r>
            <w:r>
              <w:rPr>
                <w:rFonts w:hint="eastAsia" w:cs="Times New Roman"/>
                <w:color w:val="auto"/>
                <w:szCs w:val="21"/>
                <w:highlight w:val="none"/>
                <w:lang w:val="en-US" w:eastAsia="zh-CN"/>
              </w:rPr>
              <w:t>；</w:t>
            </w:r>
          </w:p>
          <w:p>
            <w:pPr>
              <w:spacing w:line="400" w:lineRule="exact"/>
              <w:rPr>
                <w:rFonts w:hint="eastAsia"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重点、难点分析欠缺得</w:t>
            </w:r>
            <w:r>
              <w:rPr>
                <w:rFonts w:hint="eastAsia"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分</w:t>
            </w:r>
            <w:r>
              <w:rPr>
                <w:rFonts w:hint="eastAsia" w:cs="Times New Roman"/>
                <w:color w:val="auto"/>
                <w:szCs w:val="21"/>
                <w:highlight w:val="none"/>
                <w:lang w:val="en-US" w:eastAsia="zh-CN"/>
              </w:rPr>
              <w:t>；</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未提供内容不得分</w:t>
            </w:r>
            <w:r>
              <w:rPr>
                <w:rFonts w:hint="eastAsia" w:ascii="Times New Roman" w:hAnsi="Times New Roma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vAlign w:val="center"/>
          </w:tcPr>
          <w:p>
            <w:pPr>
              <w:spacing w:line="300" w:lineRule="exact"/>
              <w:jc w:val="center"/>
              <w:rPr>
                <w:rFonts w:hint="default" w:ascii="Times New Roman" w:hAnsi="Times New Roman" w:cs="Times New Roman"/>
                <w:b/>
                <w:bCs/>
                <w:color w:val="auto"/>
                <w:szCs w:val="21"/>
                <w:highlight w:val="none"/>
                <w:lang w:val="en-US" w:eastAsia="zh-CN"/>
              </w:rPr>
            </w:pPr>
          </w:p>
        </w:tc>
        <w:tc>
          <w:tcPr>
            <w:tcW w:w="8373" w:type="dxa"/>
            <w:noWrap w:val="0"/>
            <w:vAlign w:val="center"/>
          </w:tcPr>
          <w:p>
            <w:pPr>
              <w:spacing w:line="400" w:lineRule="exact"/>
              <w:rPr>
                <w:rFonts w:hint="eastAsia" w:cs="Times New Roman"/>
                <w:b/>
                <w:bCs/>
                <w:color w:val="auto"/>
                <w:szCs w:val="21"/>
                <w:highlight w:val="none"/>
                <w:lang w:val="en-US" w:eastAsia="zh-CN"/>
              </w:rPr>
            </w:pPr>
            <w:r>
              <w:rPr>
                <w:rFonts w:hint="eastAsia" w:cs="Times New Roman"/>
                <w:b/>
                <w:bCs/>
                <w:color w:val="auto"/>
                <w:szCs w:val="21"/>
                <w:highlight w:val="none"/>
                <w:lang w:val="en-US" w:eastAsia="zh-CN"/>
              </w:rPr>
              <w:t>6、管理规章制度（10分）</w:t>
            </w:r>
          </w:p>
          <w:p>
            <w:pPr>
              <w:spacing w:line="400" w:lineRule="exact"/>
              <w:rPr>
                <w:rFonts w:hint="eastAsia" w:cs="Times New Roman"/>
                <w:b/>
                <w:bCs/>
                <w:color w:val="auto"/>
                <w:szCs w:val="21"/>
                <w:highlight w:val="none"/>
                <w:lang w:val="en-US" w:eastAsia="zh-CN"/>
              </w:rPr>
            </w:pPr>
            <w:r>
              <w:rPr>
                <w:rFonts w:hint="eastAsia" w:cs="Times New Roman"/>
                <w:b/>
                <w:bCs/>
                <w:color w:val="auto"/>
                <w:szCs w:val="21"/>
                <w:highlight w:val="none"/>
                <w:lang w:val="en-US" w:eastAsia="zh-CN"/>
              </w:rPr>
              <w:t>6.1根据供应商各项规章制度、内部岗位责任制度、管理运作制度内容进行评定；</w:t>
            </w:r>
          </w:p>
          <w:p>
            <w:pPr>
              <w:spacing w:line="400" w:lineRule="exact"/>
              <w:rPr>
                <w:rFonts w:hint="eastAsia" w:cs="Times New Roman"/>
                <w:color w:val="auto"/>
                <w:szCs w:val="21"/>
                <w:highlight w:val="none"/>
                <w:lang w:val="en-US" w:eastAsia="zh-CN"/>
              </w:rPr>
            </w:pPr>
            <w:r>
              <w:rPr>
                <w:rFonts w:hint="eastAsia" w:cs="Times New Roman"/>
                <w:color w:val="auto"/>
                <w:szCs w:val="21"/>
                <w:highlight w:val="none"/>
                <w:lang w:val="en-US" w:eastAsia="zh-CN"/>
              </w:rPr>
              <w:t>制度内容完整得5分，</w:t>
            </w:r>
          </w:p>
          <w:p>
            <w:pPr>
              <w:spacing w:line="400" w:lineRule="exact"/>
              <w:rPr>
                <w:rFonts w:hint="eastAsia" w:cs="Times New Roman"/>
                <w:color w:val="auto"/>
                <w:szCs w:val="21"/>
                <w:highlight w:val="none"/>
                <w:lang w:val="en-US" w:eastAsia="zh-CN"/>
              </w:rPr>
            </w:pPr>
            <w:r>
              <w:rPr>
                <w:rFonts w:hint="eastAsia" w:cs="Times New Roman"/>
                <w:color w:val="auto"/>
                <w:szCs w:val="21"/>
                <w:highlight w:val="none"/>
                <w:lang w:val="en-US" w:eastAsia="zh-CN"/>
              </w:rPr>
              <w:t>制度内容欠完整得3分，</w:t>
            </w:r>
          </w:p>
          <w:p>
            <w:pPr>
              <w:spacing w:line="400" w:lineRule="exact"/>
              <w:rPr>
                <w:rFonts w:hint="eastAsia" w:cs="Times New Roman"/>
                <w:color w:val="auto"/>
                <w:szCs w:val="21"/>
                <w:highlight w:val="none"/>
                <w:lang w:val="en-US" w:eastAsia="zh-CN"/>
              </w:rPr>
            </w:pPr>
            <w:r>
              <w:rPr>
                <w:rFonts w:hint="eastAsia" w:cs="Times New Roman"/>
                <w:color w:val="auto"/>
                <w:szCs w:val="21"/>
                <w:highlight w:val="none"/>
                <w:lang w:val="en-US" w:eastAsia="zh-CN"/>
              </w:rPr>
              <w:t>制度内容欠缺得1分；</w:t>
            </w:r>
          </w:p>
          <w:p>
            <w:pPr>
              <w:spacing w:line="400" w:lineRule="exact"/>
              <w:rPr>
                <w:rFonts w:hint="eastAsia"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未提供内容不得分</w:t>
            </w:r>
            <w:r>
              <w:rPr>
                <w:rFonts w:hint="eastAsia" w:ascii="Times New Roman" w:hAnsi="Times New Roman" w:cs="Times New Roman"/>
                <w:color w:val="auto"/>
                <w:szCs w:val="21"/>
                <w:highlight w:val="none"/>
                <w:lang w:val="en-US" w:eastAsia="zh-CN"/>
              </w:rPr>
              <w:t>。</w:t>
            </w:r>
          </w:p>
          <w:p>
            <w:pPr>
              <w:spacing w:line="400" w:lineRule="exact"/>
              <w:rPr>
                <w:rFonts w:hint="eastAsia" w:cs="Times New Roman"/>
                <w:b/>
                <w:bCs/>
                <w:color w:val="auto"/>
                <w:szCs w:val="21"/>
                <w:highlight w:val="none"/>
                <w:lang w:val="en-US" w:eastAsia="zh-CN"/>
              </w:rPr>
            </w:pPr>
            <w:r>
              <w:rPr>
                <w:rFonts w:hint="eastAsia" w:cs="Times New Roman"/>
                <w:b/>
                <w:bCs/>
                <w:color w:val="auto"/>
                <w:szCs w:val="21"/>
                <w:highlight w:val="none"/>
                <w:lang w:val="en-US" w:eastAsia="zh-CN"/>
              </w:rPr>
              <w:t>6.2根据供应商档案管理、人员考核制度及标准内容进行评定：</w:t>
            </w:r>
          </w:p>
          <w:p>
            <w:pPr>
              <w:spacing w:line="400" w:lineRule="exact"/>
              <w:rPr>
                <w:rFonts w:hint="eastAsia" w:cs="Times New Roman"/>
                <w:color w:val="auto"/>
                <w:szCs w:val="21"/>
                <w:highlight w:val="none"/>
                <w:lang w:val="en-US" w:eastAsia="zh-CN"/>
              </w:rPr>
            </w:pPr>
            <w:r>
              <w:rPr>
                <w:rFonts w:hint="eastAsia" w:cs="Times New Roman"/>
                <w:color w:val="auto"/>
                <w:szCs w:val="21"/>
                <w:highlight w:val="none"/>
                <w:lang w:val="en-US" w:eastAsia="zh-CN"/>
              </w:rPr>
              <w:t>内部管理制度规范完整得5分，</w:t>
            </w:r>
          </w:p>
          <w:p>
            <w:pPr>
              <w:spacing w:line="400" w:lineRule="exact"/>
              <w:rPr>
                <w:rFonts w:hint="eastAsia" w:cs="Times New Roman"/>
                <w:color w:val="auto"/>
                <w:szCs w:val="21"/>
                <w:highlight w:val="none"/>
                <w:lang w:val="en-US" w:eastAsia="zh-CN"/>
              </w:rPr>
            </w:pPr>
            <w:r>
              <w:rPr>
                <w:rFonts w:hint="eastAsia" w:cs="Times New Roman"/>
                <w:color w:val="auto"/>
                <w:szCs w:val="21"/>
                <w:highlight w:val="none"/>
                <w:lang w:val="en-US" w:eastAsia="zh-CN"/>
              </w:rPr>
              <w:t>内部管理制度规范欠完整得3分，</w:t>
            </w:r>
          </w:p>
          <w:p>
            <w:pPr>
              <w:spacing w:line="400" w:lineRule="exact"/>
              <w:rPr>
                <w:rFonts w:hint="eastAsia" w:cs="Times New Roman"/>
                <w:color w:val="auto"/>
                <w:szCs w:val="21"/>
                <w:highlight w:val="none"/>
                <w:lang w:val="en-US" w:eastAsia="zh-CN"/>
              </w:rPr>
            </w:pPr>
            <w:r>
              <w:rPr>
                <w:rFonts w:hint="eastAsia" w:cs="Times New Roman"/>
                <w:color w:val="auto"/>
                <w:szCs w:val="21"/>
                <w:highlight w:val="none"/>
                <w:lang w:val="en-US" w:eastAsia="zh-CN"/>
              </w:rPr>
              <w:t>内部管理制度规范欠缺得1分。</w:t>
            </w:r>
          </w:p>
          <w:p>
            <w:pPr>
              <w:spacing w:line="400" w:lineRule="exact"/>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未提供内容不得分</w:t>
            </w:r>
            <w:r>
              <w:rPr>
                <w:rFonts w:hint="eastAsia" w:ascii="Times New Roman" w:hAnsi="Times New Roma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vAlign w:val="center"/>
          </w:tcPr>
          <w:p>
            <w:pPr>
              <w:spacing w:line="300" w:lineRule="exact"/>
              <w:jc w:val="center"/>
              <w:rPr>
                <w:rFonts w:hint="default" w:ascii="Times New Roman" w:hAnsi="Times New Roman" w:cs="Times New Roman"/>
                <w:b/>
                <w:bCs/>
                <w:color w:val="auto"/>
                <w:szCs w:val="21"/>
                <w:highlight w:val="none"/>
                <w:lang w:val="en-US" w:eastAsia="zh-CN"/>
              </w:rPr>
            </w:pPr>
          </w:p>
        </w:tc>
        <w:tc>
          <w:tcPr>
            <w:tcW w:w="8373" w:type="dxa"/>
            <w:noWrap w:val="0"/>
            <w:vAlign w:val="center"/>
          </w:tcPr>
          <w:p>
            <w:pPr>
              <w:numPr>
                <w:ilvl w:val="0"/>
                <w:numId w:val="0"/>
              </w:numPr>
              <w:spacing w:line="240" w:lineRule="auto"/>
              <w:outlineLvl w:val="9"/>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7</w:t>
            </w:r>
            <w:r>
              <w:rPr>
                <w:rFonts w:hint="eastAsia" w:ascii="Times New Roman" w:hAnsi="Times New Roman" w:eastAsia="宋体" w:cs="Times New Roman"/>
                <w:b/>
                <w:bCs/>
                <w:color w:val="auto"/>
                <w:highlight w:val="none"/>
                <w:lang w:val="en-US" w:eastAsia="zh-CN"/>
              </w:rPr>
              <w:t>、项目测评指标及标准（8分）</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根据供应商针对本项目的项目巡查指标及测评标准严格落实内容进行评定</w:t>
            </w:r>
            <w:r>
              <w:rPr>
                <w:rFonts w:hint="eastAsia" w:ascii="Times New Roman" w:hAnsi="Times New Roman" w:eastAsia="宋体" w:cs="Times New Roman"/>
                <w:color w:val="auto"/>
                <w:szCs w:val="21"/>
                <w:highlight w:val="none"/>
                <w:lang w:val="en-US" w:eastAsia="zh-CN"/>
              </w:rPr>
              <w:t>；</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巡查指标及测评标准完整得</w:t>
            </w:r>
            <w:r>
              <w:rPr>
                <w:rFonts w:hint="eastAsia"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lang w:val="en-US" w:eastAsia="zh-CN"/>
              </w:rPr>
              <w:t>分</w:t>
            </w:r>
            <w:r>
              <w:rPr>
                <w:rFonts w:hint="eastAsia" w:ascii="Times New Roman" w:hAnsi="Times New Roman" w:eastAsia="宋体" w:cs="Times New Roman"/>
                <w:color w:val="auto"/>
                <w:szCs w:val="21"/>
                <w:highlight w:val="none"/>
                <w:lang w:val="en-US" w:eastAsia="zh-CN"/>
              </w:rPr>
              <w:t>；</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巡查指标及测评标准欠完整得</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lang w:val="en-US" w:eastAsia="zh-CN"/>
              </w:rPr>
              <w:t>分</w:t>
            </w:r>
            <w:r>
              <w:rPr>
                <w:rFonts w:hint="eastAsia" w:ascii="Times New Roman" w:hAnsi="Times New Roman" w:eastAsia="宋体" w:cs="Times New Roman"/>
                <w:color w:val="auto"/>
                <w:szCs w:val="21"/>
                <w:highlight w:val="none"/>
                <w:lang w:val="en-US" w:eastAsia="zh-CN"/>
              </w:rPr>
              <w:t>；</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巡查指标及测评标准欠缺得</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分。</w:t>
            </w:r>
          </w:p>
          <w:p>
            <w:pPr>
              <w:spacing w:line="400" w:lineRule="exact"/>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未提供内容不得分。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vAlign w:val="center"/>
          </w:tcPr>
          <w:p>
            <w:pPr>
              <w:spacing w:line="300" w:lineRule="exact"/>
              <w:jc w:val="center"/>
              <w:rPr>
                <w:rFonts w:hint="default" w:ascii="Times New Roman" w:hAnsi="Times New Roman" w:cs="Times New Roman"/>
                <w:b/>
                <w:bCs/>
                <w:color w:val="auto"/>
                <w:szCs w:val="21"/>
                <w:highlight w:val="none"/>
                <w:lang w:val="en-US" w:eastAsia="zh-CN"/>
              </w:rPr>
            </w:pPr>
          </w:p>
        </w:tc>
        <w:tc>
          <w:tcPr>
            <w:tcW w:w="8373" w:type="dxa"/>
            <w:noWrap w:val="0"/>
            <w:vAlign w:val="center"/>
          </w:tcPr>
          <w:p>
            <w:pPr>
              <w:spacing w:line="400" w:lineRule="exact"/>
              <w:rPr>
                <w:rFonts w:hint="eastAsia"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8</w:t>
            </w:r>
            <w:r>
              <w:rPr>
                <w:rFonts w:hint="eastAsia" w:ascii="Times New Roman" w:hAnsi="Times New Roman" w:eastAsia="宋体" w:cs="Times New Roman"/>
                <w:b/>
                <w:bCs/>
                <w:color w:val="auto"/>
                <w:szCs w:val="21"/>
                <w:highlight w:val="none"/>
                <w:lang w:val="en-US" w:eastAsia="zh-CN"/>
              </w:rPr>
              <w:t>、项目实施方案（20分）</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对本项目的设施设备投入情况全面性、整体性进行评定</w:t>
            </w:r>
            <w:r>
              <w:rPr>
                <w:rFonts w:hint="eastAsia" w:cs="Times New Roman"/>
                <w:color w:val="auto"/>
                <w:szCs w:val="21"/>
                <w:highlight w:val="none"/>
                <w:lang w:val="en-US" w:eastAsia="zh-CN"/>
              </w:rPr>
              <w:t>：</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设施设备完整得5分，设施设备欠完整得3分，设施设备欠缺得1分；</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对本项目的重大活动保障实施方案进行评定，保障实施方案完整得5分，保障实施方案欠完整得3分，保障实施方案欠缺得1分；</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对本项目的成果递交流程科学性、合理性进行评定，递交流程完整得5分，递交流程欠完整得3分，递交流程欠缺得1分；</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对本项目的保密措施方案科学性、合理性进行评定，保密措施完整得5分，保密措施欠完整得3分，保密措施欠缺得1分。</w:t>
            </w:r>
          </w:p>
          <w:p>
            <w:pPr>
              <w:spacing w:line="400" w:lineRule="exact"/>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未提供内容不得分。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vAlign w:val="center"/>
          </w:tcPr>
          <w:p>
            <w:pPr>
              <w:spacing w:line="300" w:lineRule="exact"/>
              <w:jc w:val="center"/>
              <w:rPr>
                <w:rFonts w:hint="default" w:ascii="Times New Roman" w:hAnsi="Times New Roman" w:cs="Times New Roman"/>
                <w:b/>
                <w:bCs/>
                <w:color w:val="auto"/>
                <w:szCs w:val="21"/>
                <w:highlight w:val="none"/>
                <w:lang w:val="en-US" w:eastAsia="zh-CN"/>
              </w:rPr>
            </w:pPr>
          </w:p>
        </w:tc>
        <w:tc>
          <w:tcPr>
            <w:tcW w:w="8373" w:type="dxa"/>
            <w:noWrap w:val="0"/>
            <w:vAlign w:val="center"/>
          </w:tcPr>
          <w:p>
            <w:pPr>
              <w:spacing w:line="400" w:lineRule="exact"/>
              <w:rPr>
                <w:rFonts w:hint="eastAsia"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9</w:t>
            </w:r>
            <w:r>
              <w:rPr>
                <w:rFonts w:hint="eastAsia" w:ascii="Times New Roman" w:hAnsi="Times New Roman" w:eastAsia="宋体" w:cs="Times New Roman"/>
                <w:b/>
                <w:bCs/>
                <w:color w:val="auto"/>
                <w:szCs w:val="21"/>
                <w:highlight w:val="none"/>
                <w:lang w:val="en-US" w:eastAsia="zh-CN"/>
              </w:rPr>
              <w:t>、保障措施（12分）</w:t>
            </w:r>
          </w:p>
          <w:p>
            <w:pPr>
              <w:spacing w:line="400" w:lineRule="exact"/>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对本项目的后勤保障方案科学性、合理性进行评定</w:t>
            </w:r>
            <w:r>
              <w:rPr>
                <w:rFonts w:hint="eastAsia" w:cs="Times New Roman"/>
                <w:b w:val="0"/>
                <w:bCs w:val="0"/>
                <w:color w:val="auto"/>
                <w:szCs w:val="21"/>
                <w:highlight w:val="none"/>
                <w:lang w:val="en-US" w:eastAsia="zh-CN"/>
              </w:rPr>
              <w:t>：</w:t>
            </w:r>
          </w:p>
          <w:p>
            <w:pPr>
              <w:spacing w:line="400" w:lineRule="exact"/>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后勤保障内容完整得</w:t>
            </w:r>
            <w:r>
              <w:rPr>
                <w:rFonts w:hint="eastAsia" w:ascii="Times New Roman" w:hAnsi="Times New Roman" w:eastAsia="宋体" w:cs="Times New Roman"/>
                <w:b w:val="0"/>
                <w:bCs w:val="0"/>
                <w:color w:val="auto"/>
                <w:szCs w:val="21"/>
                <w:highlight w:val="none"/>
                <w:lang w:val="en-US" w:eastAsia="zh-CN"/>
              </w:rPr>
              <w:t>6</w:t>
            </w:r>
            <w:r>
              <w:rPr>
                <w:rFonts w:hint="default" w:ascii="Times New Roman" w:hAnsi="Times New Roman" w:eastAsia="宋体" w:cs="Times New Roman"/>
                <w:b w:val="0"/>
                <w:bCs w:val="0"/>
                <w:color w:val="auto"/>
                <w:szCs w:val="21"/>
                <w:highlight w:val="none"/>
                <w:lang w:val="en-US" w:eastAsia="zh-CN"/>
              </w:rPr>
              <w:t>分，后勤保障内容欠完整得</w:t>
            </w:r>
            <w:r>
              <w:rPr>
                <w:rFonts w:hint="eastAsia" w:ascii="Times New Roman" w:hAnsi="Times New Roman" w:eastAsia="宋体" w:cs="Times New Roman"/>
                <w:b w:val="0"/>
                <w:bCs w:val="0"/>
                <w:color w:val="auto"/>
                <w:szCs w:val="21"/>
                <w:highlight w:val="none"/>
                <w:lang w:val="en-US" w:eastAsia="zh-CN"/>
              </w:rPr>
              <w:t>4</w:t>
            </w:r>
            <w:r>
              <w:rPr>
                <w:rFonts w:hint="default" w:ascii="Times New Roman" w:hAnsi="Times New Roman" w:eastAsia="宋体" w:cs="Times New Roman"/>
                <w:b w:val="0"/>
                <w:bCs w:val="0"/>
                <w:color w:val="auto"/>
                <w:szCs w:val="21"/>
                <w:highlight w:val="none"/>
                <w:lang w:val="en-US" w:eastAsia="zh-CN"/>
              </w:rPr>
              <w:t>分，后勤保障内容欠缺得</w:t>
            </w:r>
            <w:r>
              <w:rPr>
                <w:rFonts w:hint="eastAsia" w:ascii="Times New Roman" w:hAnsi="Times New Roman" w:eastAsia="宋体" w:cs="Times New Roman"/>
                <w:b w:val="0"/>
                <w:bCs w:val="0"/>
                <w:color w:val="auto"/>
                <w:szCs w:val="21"/>
                <w:highlight w:val="none"/>
                <w:lang w:val="en-US" w:eastAsia="zh-CN"/>
              </w:rPr>
              <w:t>2</w:t>
            </w:r>
            <w:r>
              <w:rPr>
                <w:rFonts w:hint="default" w:ascii="Times New Roman" w:hAnsi="Times New Roman" w:eastAsia="宋体" w:cs="Times New Roman"/>
                <w:b w:val="0"/>
                <w:bCs w:val="0"/>
                <w:color w:val="auto"/>
                <w:szCs w:val="21"/>
                <w:highlight w:val="none"/>
                <w:lang w:val="en-US" w:eastAsia="zh-CN"/>
              </w:rPr>
              <w:t>分；</w:t>
            </w:r>
          </w:p>
          <w:p>
            <w:pPr>
              <w:spacing w:line="400" w:lineRule="exact"/>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对本项目的应急措施方案科学性、合理性进行评定，应急措施内容完整得</w:t>
            </w:r>
            <w:r>
              <w:rPr>
                <w:rFonts w:hint="eastAsia" w:ascii="Times New Roman" w:hAnsi="Times New Roman" w:eastAsia="宋体" w:cs="Times New Roman"/>
                <w:b w:val="0"/>
                <w:bCs w:val="0"/>
                <w:color w:val="auto"/>
                <w:szCs w:val="21"/>
                <w:highlight w:val="none"/>
                <w:lang w:val="en-US" w:eastAsia="zh-CN"/>
              </w:rPr>
              <w:t>6</w:t>
            </w:r>
            <w:r>
              <w:rPr>
                <w:rFonts w:hint="default" w:ascii="Times New Roman" w:hAnsi="Times New Roman" w:eastAsia="宋体" w:cs="Times New Roman"/>
                <w:b w:val="0"/>
                <w:bCs w:val="0"/>
                <w:color w:val="auto"/>
                <w:szCs w:val="21"/>
                <w:highlight w:val="none"/>
                <w:lang w:val="en-US" w:eastAsia="zh-CN"/>
              </w:rPr>
              <w:t>分，应急措施欠完整得</w:t>
            </w:r>
            <w:r>
              <w:rPr>
                <w:rFonts w:hint="eastAsia" w:ascii="Times New Roman" w:hAnsi="Times New Roman" w:eastAsia="宋体" w:cs="Times New Roman"/>
                <w:b w:val="0"/>
                <w:bCs w:val="0"/>
                <w:color w:val="auto"/>
                <w:szCs w:val="21"/>
                <w:highlight w:val="none"/>
                <w:lang w:val="en-US" w:eastAsia="zh-CN"/>
              </w:rPr>
              <w:t>4</w:t>
            </w:r>
            <w:r>
              <w:rPr>
                <w:rFonts w:hint="default" w:ascii="Times New Roman" w:hAnsi="Times New Roman" w:eastAsia="宋体" w:cs="Times New Roman"/>
                <w:b w:val="0"/>
                <w:bCs w:val="0"/>
                <w:color w:val="auto"/>
                <w:szCs w:val="21"/>
                <w:highlight w:val="none"/>
                <w:lang w:val="en-US" w:eastAsia="zh-CN"/>
              </w:rPr>
              <w:t>分，应急措施内容欠缺得</w:t>
            </w:r>
            <w:r>
              <w:rPr>
                <w:rFonts w:hint="eastAsia" w:ascii="Times New Roman" w:hAnsi="Times New Roman" w:eastAsia="宋体" w:cs="Times New Roman"/>
                <w:b w:val="0"/>
                <w:bCs w:val="0"/>
                <w:color w:val="auto"/>
                <w:szCs w:val="21"/>
                <w:highlight w:val="none"/>
                <w:lang w:val="en-US" w:eastAsia="zh-CN"/>
              </w:rPr>
              <w:t>2</w:t>
            </w:r>
            <w:r>
              <w:rPr>
                <w:rFonts w:hint="default" w:ascii="Times New Roman" w:hAnsi="Times New Roman" w:eastAsia="宋体" w:cs="Times New Roman"/>
                <w:b w:val="0"/>
                <w:bCs w:val="0"/>
                <w:color w:val="auto"/>
                <w:szCs w:val="21"/>
                <w:highlight w:val="none"/>
                <w:lang w:val="en-US" w:eastAsia="zh-CN"/>
              </w:rPr>
              <w:t>分。</w:t>
            </w:r>
          </w:p>
          <w:p>
            <w:pPr>
              <w:spacing w:line="400" w:lineRule="exact"/>
              <w:rPr>
                <w:rFonts w:hint="default" w:ascii="Times New Roman" w:hAnsi="Times New Roman" w:cs="Times New Roman"/>
                <w:color w:val="auto"/>
                <w:szCs w:val="21"/>
                <w:highlight w:val="none"/>
              </w:rPr>
            </w:pPr>
            <w:r>
              <w:rPr>
                <w:rFonts w:hint="default" w:ascii="Times New Roman" w:hAnsi="Times New Roman" w:eastAsia="宋体" w:cs="Times New Roman"/>
                <w:b w:val="0"/>
                <w:bCs w:val="0"/>
                <w:color w:val="auto"/>
                <w:szCs w:val="21"/>
                <w:highlight w:val="none"/>
                <w:lang w:val="en-US" w:eastAsia="zh-CN"/>
              </w:rPr>
              <w:t>未提供内容不得分。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vAlign w:val="center"/>
          </w:tcPr>
          <w:p>
            <w:pPr>
              <w:spacing w:line="300" w:lineRule="exact"/>
              <w:jc w:val="center"/>
              <w:rPr>
                <w:rFonts w:hint="default" w:ascii="Times New Roman" w:hAnsi="Times New Roman" w:cs="Times New Roman"/>
                <w:b/>
                <w:bCs/>
                <w:color w:val="auto"/>
                <w:szCs w:val="21"/>
                <w:highlight w:val="none"/>
                <w:lang w:val="en-US" w:eastAsia="zh-CN"/>
              </w:rPr>
            </w:pPr>
          </w:p>
        </w:tc>
        <w:tc>
          <w:tcPr>
            <w:tcW w:w="8373" w:type="dxa"/>
            <w:noWrap w:val="0"/>
            <w:vAlign w:val="center"/>
          </w:tcPr>
          <w:p>
            <w:pPr>
              <w:spacing w:line="400" w:lineRule="exact"/>
              <w:rPr>
                <w:rFonts w:hint="eastAsia"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10</w:t>
            </w:r>
            <w:r>
              <w:rPr>
                <w:rFonts w:hint="eastAsia" w:ascii="Times New Roman" w:hAnsi="Times New Roman" w:eastAsia="宋体" w:cs="Times New Roman"/>
                <w:b/>
                <w:bCs/>
                <w:color w:val="auto"/>
                <w:szCs w:val="21"/>
                <w:highlight w:val="none"/>
                <w:lang w:val="en-US" w:eastAsia="zh-CN"/>
              </w:rPr>
              <w:t>、服务响应能力（6分）</w:t>
            </w:r>
          </w:p>
          <w:p>
            <w:pPr>
              <w:spacing w:line="400" w:lineRule="exact"/>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根据供应商提供的针对本项目的服务响应时间和服务响应承诺进行</w:t>
            </w:r>
            <w:r>
              <w:rPr>
                <w:rFonts w:hint="default" w:ascii="Times New Roman" w:hAnsi="Times New Roman" w:eastAsia="宋体" w:cs="Times New Roman"/>
                <w:b w:val="0"/>
                <w:bCs w:val="0"/>
                <w:color w:val="auto"/>
                <w:szCs w:val="21"/>
                <w:highlight w:val="none"/>
                <w:lang w:val="en-US" w:eastAsia="zh-CN"/>
              </w:rPr>
              <w:t>评定</w:t>
            </w:r>
            <w:r>
              <w:rPr>
                <w:rFonts w:hint="eastAsia" w:ascii="Times New Roman" w:hAnsi="Times New Roman" w:eastAsia="宋体" w:cs="Times New Roman"/>
                <w:b w:val="0"/>
                <w:bCs w:val="0"/>
                <w:color w:val="auto"/>
                <w:szCs w:val="21"/>
                <w:highlight w:val="none"/>
                <w:lang w:val="en-US" w:eastAsia="zh-CN"/>
              </w:rPr>
              <w:t>：</w:t>
            </w:r>
          </w:p>
          <w:p>
            <w:pPr>
              <w:spacing w:line="400" w:lineRule="exact"/>
              <w:rPr>
                <w:rFonts w:hint="default" w:ascii="Times New Roman" w:hAnsi="Times New Roman" w:cs="Times New Roman"/>
                <w:color w:val="auto"/>
                <w:szCs w:val="21"/>
                <w:highlight w:val="none"/>
                <w:lang w:val="en-US"/>
              </w:rPr>
            </w:pPr>
            <w:r>
              <w:rPr>
                <w:rFonts w:hint="eastAsia" w:ascii="Times New Roman" w:hAnsi="Times New Roman" w:eastAsia="宋体" w:cs="Times New Roman"/>
                <w:b w:val="0"/>
                <w:bCs w:val="0"/>
                <w:color w:val="auto"/>
                <w:szCs w:val="21"/>
                <w:highlight w:val="none"/>
                <w:lang w:val="en-US" w:eastAsia="zh-CN"/>
              </w:rPr>
              <w:t>响应及时迅速、为实质性承诺的的得6分；响应速度基本满足采购人要求，为实质性承诺的的得4分；响应及时性不足以满足采购人要求，为实质性承诺的的得2分；未提供内容或者提供的非实质性承诺的不得分。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vAlign w:val="center"/>
          </w:tcPr>
          <w:p>
            <w:pPr>
              <w:spacing w:line="300" w:lineRule="exact"/>
              <w:jc w:val="center"/>
              <w:rPr>
                <w:rFonts w:hint="default" w:ascii="Times New Roman" w:hAnsi="Times New Roman" w:cs="Times New Roman"/>
                <w:b/>
                <w:bCs/>
                <w:color w:val="auto"/>
                <w:szCs w:val="21"/>
                <w:highlight w:val="none"/>
                <w:lang w:val="en-US" w:eastAsia="zh-CN"/>
              </w:rPr>
            </w:pPr>
          </w:p>
        </w:tc>
        <w:tc>
          <w:tcPr>
            <w:tcW w:w="8373" w:type="dxa"/>
            <w:noWrap w:val="0"/>
            <w:vAlign w:val="center"/>
          </w:tcPr>
          <w:p>
            <w:pPr>
              <w:spacing w:line="400" w:lineRule="exact"/>
              <w:rPr>
                <w:rFonts w:hint="default"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11</w:t>
            </w:r>
            <w:r>
              <w:rPr>
                <w:rFonts w:hint="eastAsia" w:ascii="Times New Roman" w:hAnsi="Times New Roman" w:eastAsia="宋体" w:cs="Times New Roman"/>
                <w:b/>
                <w:bCs/>
                <w:color w:val="auto"/>
                <w:szCs w:val="21"/>
                <w:highlight w:val="none"/>
                <w:lang w:val="en-US" w:eastAsia="zh-CN"/>
              </w:rPr>
              <w:t>、</w:t>
            </w:r>
            <w:r>
              <w:rPr>
                <w:rFonts w:hint="default" w:ascii="Times New Roman" w:hAnsi="Times New Roman" w:eastAsia="宋体" w:cs="Times New Roman"/>
                <w:b/>
                <w:bCs/>
                <w:color w:val="auto"/>
                <w:szCs w:val="21"/>
                <w:highlight w:val="none"/>
                <w:lang w:val="en-US" w:eastAsia="zh-CN"/>
              </w:rPr>
              <w:t>合理化建议（</w:t>
            </w:r>
            <w:r>
              <w:rPr>
                <w:rFonts w:hint="eastAsia" w:ascii="Times New Roman" w:hAnsi="Times New Roman" w:eastAsia="宋体" w:cs="Times New Roman"/>
                <w:b/>
                <w:bCs/>
                <w:color w:val="auto"/>
                <w:szCs w:val="21"/>
                <w:highlight w:val="none"/>
                <w:lang w:val="en-US" w:eastAsia="zh-CN"/>
              </w:rPr>
              <w:t>6</w:t>
            </w:r>
            <w:r>
              <w:rPr>
                <w:rFonts w:hint="default" w:ascii="Times New Roman" w:hAnsi="Times New Roman" w:eastAsia="宋体" w:cs="Times New Roman"/>
                <w:b/>
                <w:bCs/>
                <w:color w:val="auto"/>
                <w:szCs w:val="21"/>
                <w:highlight w:val="none"/>
                <w:lang w:val="en-US" w:eastAsia="zh-CN"/>
              </w:rPr>
              <w:t>分）</w:t>
            </w:r>
          </w:p>
          <w:p>
            <w:pPr>
              <w:spacing w:line="400" w:lineRule="exact"/>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由评委对供应商的针对本项目的合理化建议科学性、合理性进行评定</w:t>
            </w:r>
            <w:r>
              <w:rPr>
                <w:rFonts w:hint="eastAsia" w:cs="Times New Roman"/>
                <w:b w:val="0"/>
                <w:bCs w:val="0"/>
                <w:color w:val="auto"/>
                <w:szCs w:val="21"/>
                <w:highlight w:val="none"/>
                <w:lang w:val="en-US" w:eastAsia="zh-CN"/>
              </w:rPr>
              <w:t>：</w:t>
            </w:r>
          </w:p>
          <w:p>
            <w:pPr>
              <w:spacing w:line="400" w:lineRule="exact"/>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合理化建议明确实际得</w:t>
            </w:r>
            <w:r>
              <w:rPr>
                <w:rFonts w:hint="eastAsia" w:ascii="Times New Roman" w:hAnsi="Times New Roman" w:eastAsia="宋体" w:cs="Times New Roman"/>
                <w:b w:val="0"/>
                <w:bCs w:val="0"/>
                <w:color w:val="auto"/>
                <w:szCs w:val="21"/>
                <w:highlight w:val="none"/>
                <w:lang w:val="en-US" w:eastAsia="zh-CN"/>
              </w:rPr>
              <w:t>6</w:t>
            </w:r>
            <w:r>
              <w:rPr>
                <w:rFonts w:hint="default" w:ascii="Times New Roman" w:hAnsi="Times New Roman" w:eastAsia="宋体" w:cs="Times New Roman"/>
                <w:b w:val="0"/>
                <w:bCs w:val="0"/>
                <w:color w:val="auto"/>
                <w:szCs w:val="21"/>
                <w:highlight w:val="none"/>
                <w:lang w:val="en-US" w:eastAsia="zh-CN"/>
              </w:rPr>
              <w:t>分，合理化建议欠明确可行得</w:t>
            </w:r>
            <w:r>
              <w:rPr>
                <w:rFonts w:hint="eastAsia" w:ascii="Times New Roman" w:hAnsi="Times New Roman" w:eastAsia="宋体" w:cs="Times New Roman"/>
                <w:b w:val="0"/>
                <w:bCs w:val="0"/>
                <w:color w:val="auto"/>
                <w:szCs w:val="21"/>
                <w:highlight w:val="none"/>
                <w:lang w:val="en-US" w:eastAsia="zh-CN"/>
              </w:rPr>
              <w:t>4</w:t>
            </w:r>
            <w:r>
              <w:rPr>
                <w:rFonts w:hint="default" w:ascii="Times New Roman" w:hAnsi="Times New Roman" w:eastAsia="宋体" w:cs="Times New Roman"/>
                <w:b w:val="0"/>
                <w:bCs w:val="0"/>
                <w:color w:val="auto"/>
                <w:szCs w:val="21"/>
                <w:highlight w:val="none"/>
                <w:lang w:val="en-US" w:eastAsia="zh-CN"/>
              </w:rPr>
              <w:t>分，合理化建议欠缺得</w:t>
            </w:r>
            <w:r>
              <w:rPr>
                <w:rFonts w:hint="eastAsia" w:ascii="Times New Roman" w:hAnsi="Times New Roman" w:eastAsia="宋体" w:cs="Times New Roman"/>
                <w:b w:val="0"/>
                <w:bCs w:val="0"/>
                <w:color w:val="auto"/>
                <w:szCs w:val="21"/>
                <w:highlight w:val="none"/>
                <w:lang w:val="en-US" w:eastAsia="zh-CN"/>
              </w:rPr>
              <w:t>2</w:t>
            </w:r>
            <w:r>
              <w:rPr>
                <w:rFonts w:hint="default" w:ascii="Times New Roman" w:hAnsi="Times New Roman" w:eastAsia="宋体" w:cs="Times New Roman"/>
                <w:b w:val="0"/>
                <w:bCs w:val="0"/>
                <w:color w:val="auto"/>
                <w:szCs w:val="21"/>
                <w:highlight w:val="none"/>
                <w:lang w:val="en-US" w:eastAsia="zh-CN"/>
              </w:rPr>
              <w:t>分。</w:t>
            </w:r>
          </w:p>
          <w:p>
            <w:pPr>
              <w:spacing w:line="4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未提供内容不得分。</w:t>
            </w:r>
          </w:p>
        </w:tc>
      </w:tr>
    </w:tbl>
    <w:p>
      <w:pPr>
        <w:pStyle w:val="16"/>
        <w:rPr>
          <w:rFonts w:hint="default" w:ascii="Times New Roman" w:hAnsi="Times New Roman" w:cs="Times New Roman"/>
          <w:color w:val="auto"/>
          <w:highlight w:val="none"/>
        </w:rPr>
      </w:pPr>
    </w:p>
    <w:p>
      <w:pPr>
        <w:pStyle w:val="22"/>
        <w:spacing w:before="0" w:beforeLines="0" w:after="0" w:afterLines="0" w:line="360" w:lineRule="auto"/>
        <w:rPr>
          <w:rFonts w:hint="default" w:ascii="Times New Roman" w:hAnsi="Times New Roman" w:cs="Times New Roman"/>
          <w:b/>
          <w:color w:val="auto"/>
          <w:highlight w:val="none"/>
        </w:rPr>
      </w:pPr>
      <w:r>
        <w:rPr>
          <w:rFonts w:hint="default" w:ascii="Times New Roman" w:hAnsi="Times New Roman" w:cs="Times New Roman"/>
          <w:b/>
          <w:color w:val="auto"/>
          <w:sz w:val="21"/>
          <w:szCs w:val="21"/>
          <w:highlight w:val="none"/>
        </w:rPr>
        <w:t>第二阶段：报价文件评审</w:t>
      </w:r>
    </w:p>
    <w:tbl>
      <w:tblPr>
        <w:tblStyle w:val="38"/>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8"/>
        <w:gridCol w:w="8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908" w:type="dxa"/>
            <w:noWrap w:val="0"/>
            <w:vAlign w:val="center"/>
          </w:tcPr>
          <w:p>
            <w:pPr>
              <w:tabs>
                <w:tab w:val="left" w:pos="0"/>
              </w:tabs>
              <w:autoSpaceDE w:val="0"/>
              <w:autoSpaceDN w:val="0"/>
              <w:spacing w:line="300" w:lineRule="exact"/>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分值</w:t>
            </w:r>
          </w:p>
        </w:tc>
        <w:tc>
          <w:tcPr>
            <w:tcW w:w="8380" w:type="dxa"/>
            <w:noWrap w:val="0"/>
            <w:vAlign w:val="center"/>
          </w:tcPr>
          <w:p>
            <w:pPr>
              <w:tabs>
                <w:tab w:val="left" w:pos="0"/>
              </w:tabs>
              <w:autoSpaceDE w:val="0"/>
              <w:autoSpaceDN w:val="0"/>
              <w:spacing w:line="300" w:lineRule="exact"/>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8" w:type="dxa"/>
            <w:noWrap w:val="0"/>
            <w:vAlign w:val="center"/>
          </w:tcPr>
          <w:p>
            <w:pPr>
              <w:tabs>
                <w:tab w:val="left" w:pos="0"/>
              </w:tabs>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价格</w:t>
            </w:r>
          </w:p>
          <w:p>
            <w:pPr>
              <w:tabs>
                <w:tab w:val="left" w:pos="0"/>
              </w:tabs>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得分</w:t>
            </w:r>
          </w:p>
          <w:p>
            <w:pPr>
              <w:tabs>
                <w:tab w:val="left" w:pos="0"/>
              </w:tabs>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lang w:val="en-US" w:eastAsia="zh-CN"/>
              </w:rPr>
              <w:t>10</w:t>
            </w:r>
            <w:r>
              <w:rPr>
                <w:rFonts w:hint="default" w:ascii="Times New Roman" w:hAnsi="Times New Roman" w:cs="Times New Roman"/>
                <w:b/>
                <w:bCs/>
                <w:color w:val="auto"/>
                <w:szCs w:val="21"/>
                <w:highlight w:val="none"/>
              </w:rPr>
              <w:t>分</w:t>
            </w:r>
          </w:p>
        </w:tc>
        <w:tc>
          <w:tcPr>
            <w:tcW w:w="8380" w:type="dxa"/>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评标基准价指的是满足招标文件要求且最低的参与评审的价格。</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参与评审的价格=</w:t>
            </w:r>
            <w:r>
              <w:rPr>
                <w:rFonts w:hint="default" w:ascii="Times New Roman" w:hAnsi="Times New Roman" w:cs="Times New Roman"/>
                <w:color w:val="auto"/>
                <w:kern w:val="0"/>
                <w:szCs w:val="21"/>
                <w:highlight w:val="none"/>
              </w:rPr>
              <w:t>投标报价。</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参与评审的价格为评标基准价的其价格得分得满分10分。</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其他投标人价格得分按照下列公式计算：</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价格得分=（评标基准价/各投标人参与评审的价格）×10%×100。</w:t>
            </w:r>
          </w:p>
          <w:p>
            <w:pPr>
              <w:spacing w:line="400" w:lineRule="exac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注：1、投标报价超过对应最高限价的作无效标处理。</w:t>
            </w:r>
          </w:p>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2、价格得分小数点后保留2位小数，第3位小数四舍五入。</w:t>
            </w:r>
          </w:p>
        </w:tc>
      </w:tr>
    </w:tbl>
    <w:p>
      <w:pPr>
        <w:pStyle w:val="22"/>
        <w:spacing w:before="0" w:beforeLines="0" w:after="0" w:afterLines="0" w:line="360" w:lineRule="auto"/>
        <w:jc w:val="center"/>
        <w:outlineLvl w:val="0"/>
        <w:rPr>
          <w:rFonts w:hint="default" w:ascii="Times New Roman" w:hAnsi="Times New Roman" w:cs="Times New Roman"/>
          <w:b/>
          <w:color w:val="auto"/>
          <w:highlight w:val="none"/>
        </w:rPr>
      </w:pPr>
      <w:r>
        <w:rPr>
          <w:rFonts w:hint="default" w:ascii="Times New Roman" w:hAnsi="Times New Roman" w:cs="Times New Roman"/>
          <w:b/>
          <w:color w:val="auto"/>
          <w:highlight w:val="none"/>
        </w:rPr>
        <w:br w:type="page"/>
      </w:r>
      <w:bookmarkStart w:id="48" w:name="_Toc16326"/>
      <w:bookmarkStart w:id="49" w:name="_Toc15147"/>
      <w:bookmarkStart w:id="50" w:name="_Toc8161"/>
      <w:bookmarkStart w:id="51" w:name="_Toc30790"/>
      <w:bookmarkStart w:id="52" w:name="_Toc7246_WPSOffice_Level1"/>
      <w:bookmarkStart w:id="53" w:name="_Toc13574"/>
      <w:bookmarkStart w:id="54" w:name="_Toc4252"/>
      <w:bookmarkStart w:id="55" w:name="_Toc19575"/>
      <w:r>
        <w:rPr>
          <w:rFonts w:hint="default" w:ascii="Times New Roman" w:hAnsi="Times New Roman" w:cs="Times New Roman"/>
          <w:b/>
          <w:color w:val="auto"/>
          <w:highlight w:val="none"/>
        </w:rPr>
        <w:t>第五章 政府采购合同主要条款</w:t>
      </w:r>
      <w:bookmarkEnd w:id="48"/>
      <w:bookmarkEnd w:id="49"/>
      <w:bookmarkEnd w:id="50"/>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val="en-US" w:eastAsia="zh-CN"/>
        </w:rPr>
      </w:pPr>
    </w:p>
    <w:p>
      <w:pPr>
        <w:pStyle w:val="147"/>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lang w:val="zh-TW" w:eastAsia="zh-TW"/>
        </w:rPr>
        <w:t>项目名称：</w:t>
      </w:r>
      <w:r>
        <w:rPr>
          <w:rFonts w:hint="eastAsia" w:ascii="Times New Roman" w:hAnsi="Times New Roman" w:eastAsia="宋体" w:cs="Times New Roman"/>
          <w:color w:val="auto"/>
          <w:highlight w:val="none"/>
          <w:lang w:val="zh-TW" w:eastAsia="zh-CN"/>
        </w:rPr>
        <w:t>202</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zh-TW" w:eastAsia="zh-CN"/>
        </w:rPr>
        <w:t>年城乡文明程度指数第三方专业测评服务项目</w:t>
      </w:r>
      <w:r>
        <w:rPr>
          <w:rFonts w:hint="eastAsia" w:ascii="Times New Roman" w:hAnsi="Times New Roman" w:eastAsia="宋体" w:cs="Times New Roman"/>
          <w:color w:val="auto"/>
          <w:highlight w:val="none"/>
          <w:u w:val="none"/>
          <w:lang w:val="en-US" w:eastAsia="zh-CN"/>
        </w:rPr>
        <w:t xml:space="preserve">     </w:t>
      </w:r>
    </w:p>
    <w:p>
      <w:pPr>
        <w:pStyle w:val="147"/>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zh-TW" w:eastAsia="zh-TW"/>
        </w:rPr>
        <w:t>项目编号：科信建代字[2024]100037号</w:t>
      </w:r>
      <w:r>
        <w:rPr>
          <w:rFonts w:hint="eastAsia" w:ascii="Times New Roman" w:hAnsi="Times New Roman" w:eastAsia="宋体" w:cs="Times New Roman"/>
          <w:color w:val="auto"/>
          <w:highlight w:val="none"/>
          <w:lang w:val="en-US" w:eastAsia="zh-CN"/>
        </w:rPr>
        <w:t xml:space="preserve">  </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zh-TW" w:eastAsia="zh-TW"/>
        </w:rPr>
        <w:t>甲方：中国共产党宁波市镇海区委员会宣传部</w:t>
      </w:r>
      <w:r>
        <w:rPr>
          <w:rFonts w:hint="eastAsia" w:ascii="Times New Roman" w:hAnsi="Times New Roman" w:eastAsia="宋体" w:cs="Times New Roman"/>
          <w:color w:val="auto"/>
          <w:kern w:val="2"/>
          <w:sz w:val="21"/>
          <w:szCs w:val="21"/>
          <w:highlight w:val="none"/>
          <w:lang w:val="en-US" w:eastAsia="zh-CN"/>
        </w:rPr>
        <w:t xml:space="preserve">      </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zh-TW" w:eastAsia="zh-TW"/>
        </w:rPr>
      </w:pPr>
      <w:r>
        <w:rPr>
          <w:rFonts w:hint="default" w:ascii="Times New Roman" w:hAnsi="Times New Roman" w:eastAsia="宋体" w:cs="Times New Roman"/>
          <w:color w:val="auto"/>
          <w:kern w:val="2"/>
          <w:sz w:val="21"/>
          <w:szCs w:val="21"/>
          <w:highlight w:val="none"/>
          <w:lang w:val="zh-TW" w:eastAsia="zh-TW"/>
        </w:rPr>
        <w:t>乙方：</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TW" w:eastAsia="zh-TW"/>
        </w:rPr>
        <w:t>甲、乙双方根据项目的招标结果，签署本合同。</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color w:val="auto"/>
          <w:sz w:val="21"/>
          <w:szCs w:val="21"/>
          <w:highlight w:val="none"/>
          <w:lang w:val="zh-TW" w:eastAsia="zh-TW"/>
        </w:rPr>
      </w:pPr>
      <w:r>
        <w:rPr>
          <w:rFonts w:hint="default" w:ascii="Times New Roman" w:hAnsi="Times New Roman" w:eastAsia="宋体" w:cs="Times New Roman"/>
          <w:b/>
          <w:bCs/>
          <w:color w:val="auto"/>
          <w:kern w:val="2"/>
          <w:sz w:val="21"/>
          <w:szCs w:val="21"/>
          <w:highlight w:val="none"/>
        </w:rPr>
        <w:t>一、</w:t>
      </w:r>
      <w:r>
        <w:rPr>
          <w:rFonts w:hint="default" w:ascii="Times New Roman" w:hAnsi="Times New Roman" w:eastAsia="宋体" w:cs="Times New Roman"/>
          <w:b/>
          <w:bCs/>
          <w:color w:val="auto"/>
          <w:kern w:val="2"/>
          <w:sz w:val="21"/>
          <w:szCs w:val="21"/>
          <w:highlight w:val="none"/>
          <w:lang w:val="zh-TW" w:eastAsia="zh-TW"/>
        </w:rPr>
        <w:t>服务内容</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1.1</w:t>
      </w:r>
      <w:r>
        <w:rPr>
          <w:rFonts w:hint="default" w:ascii="Times New Roman" w:hAnsi="Times New Roman" w:eastAsia="宋体" w:cs="Times New Roman"/>
          <w:color w:val="auto"/>
          <w:kern w:val="2"/>
          <w:sz w:val="21"/>
          <w:szCs w:val="21"/>
          <w:highlight w:val="none"/>
          <w:lang w:val="zh-TW" w:eastAsia="zh-TW"/>
        </w:rPr>
        <w:t>项目名称：</w:t>
      </w:r>
      <w:r>
        <w:rPr>
          <w:rFonts w:hint="eastAsia" w:ascii="Times New Roman" w:hAnsi="Times New Roman" w:eastAsia="宋体" w:cs="Times New Roman"/>
          <w:color w:val="auto"/>
          <w:kern w:val="2"/>
          <w:sz w:val="21"/>
          <w:szCs w:val="21"/>
          <w:highlight w:val="none"/>
          <w:lang w:val="zh-TW" w:eastAsia="zh-CN"/>
        </w:rPr>
        <w:t>202</w:t>
      </w:r>
      <w:r>
        <w:rPr>
          <w:rFonts w:hint="eastAsia" w:ascii="Times New Roman" w:hAnsi="Times New Roman" w:eastAsia="宋体" w:cs="Times New Roman"/>
          <w:color w:val="auto"/>
          <w:kern w:val="2"/>
          <w:sz w:val="21"/>
          <w:szCs w:val="21"/>
          <w:highlight w:val="none"/>
          <w:lang w:val="en-US" w:eastAsia="zh-CN"/>
        </w:rPr>
        <w:t>4</w:t>
      </w:r>
      <w:r>
        <w:rPr>
          <w:rFonts w:hint="eastAsia" w:ascii="Times New Roman" w:hAnsi="Times New Roman" w:eastAsia="宋体" w:cs="Times New Roman"/>
          <w:color w:val="auto"/>
          <w:kern w:val="2"/>
          <w:sz w:val="21"/>
          <w:szCs w:val="21"/>
          <w:highlight w:val="none"/>
          <w:lang w:val="zh-TW" w:eastAsia="zh-CN"/>
        </w:rPr>
        <w:t>年城乡文明程度指数第三方专业测评服务项目</w:t>
      </w:r>
      <w:r>
        <w:rPr>
          <w:rFonts w:hint="default" w:ascii="Times New Roman" w:hAnsi="Times New Roman" w:eastAsia="宋体" w:cs="Times New Roman"/>
          <w:color w:val="auto"/>
          <w:kern w:val="2"/>
          <w:sz w:val="21"/>
          <w:szCs w:val="21"/>
          <w:highlight w:val="none"/>
          <w:lang w:val="zh-TW" w:eastAsia="zh-TW"/>
        </w:rPr>
        <w:t xml:space="preserve"> </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1.2</w:t>
      </w:r>
      <w:r>
        <w:rPr>
          <w:rFonts w:hint="default" w:ascii="Times New Roman" w:hAnsi="Times New Roman" w:eastAsia="宋体" w:cs="Times New Roman"/>
          <w:color w:val="auto"/>
          <w:kern w:val="2"/>
          <w:sz w:val="21"/>
          <w:szCs w:val="21"/>
          <w:highlight w:val="none"/>
          <w:lang w:val="zh-TW" w:eastAsia="zh-TW"/>
        </w:rPr>
        <w:t xml:space="preserve">服务期限： </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1.3</w:t>
      </w:r>
      <w:r>
        <w:rPr>
          <w:rFonts w:hint="default" w:ascii="Times New Roman" w:hAnsi="Times New Roman" w:eastAsia="宋体" w:cs="Times New Roman"/>
          <w:color w:val="auto"/>
          <w:kern w:val="2"/>
          <w:sz w:val="21"/>
          <w:szCs w:val="21"/>
          <w:highlight w:val="none"/>
          <w:lang w:val="zh-TW" w:eastAsia="zh-TW"/>
        </w:rPr>
        <w:t xml:space="preserve">服务内容： </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b w:val="0"/>
          <w:bCs w:val="0"/>
          <w:color w:val="auto"/>
          <w:kern w:val="2"/>
          <w:sz w:val="21"/>
          <w:szCs w:val="21"/>
          <w:highlight w:val="none"/>
          <w:lang w:val="zh-TW" w:eastAsia="zh-TW"/>
        </w:rPr>
      </w:pPr>
      <w:r>
        <w:rPr>
          <w:rFonts w:hint="eastAsia" w:ascii="Times New Roman" w:hAnsi="Times New Roman" w:eastAsia="宋体" w:cs="Times New Roman"/>
          <w:b w:val="0"/>
          <w:bCs w:val="0"/>
          <w:color w:val="auto"/>
          <w:kern w:val="2"/>
          <w:sz w:val="21"/>
          <w:szCs w:val="21"/>
          <w:highlight w:val="none"/>
          <w:lang w:val="en-US" w:eastAsia="zh-CN"/>
        </w:rPr>
        <w:t>1.3.1</w:t>
      </w:r>
      <w:r>
        <w:rPr>
          <w:rFonts w:hint="default" w:ascii="Times New Roman" w:hAnsi="Times New Roman" w:eastAsia="宋体" w:cs="Times New Roman"/>
          <w:b w:val="0"/>
          <w:bCs w:val="0"/>
          <w:color w:val="auto"/>
          <w:kern w:val="2"/>
          <w:sz w:val="21"/>
          <w:szCs w:val="21"/>
          <w:highlight w:val="none"/>
          <w:lang w:val="zh-TW" w:eastAsia="zh-TW"/>
        </w:rPr>
        <w:t>对镇海区所有行政村、社区进行常态化检查考核，每季度出具一份评估报告，共计四次。</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b w:val="0"/>
          <w:bCs w:val="0"/>
          <w:color w:val="auto"/>
          <w:kern w:val="2"/>
          <w:sz w:val="21"/>
          <w:szCs w:val="21"/>
          <w:highlight w:val="none"/>
          <w:lang w:val="zh-TW" w:eastAsia="zh-TW"/>
        </w:rPr>
      </w:pPr>
      <w:r>
        <w:rPr>
          <w:rFonts w:hint="eastAsia" w:ascii="Times New Roman" w:hAnsi="Times New Roman" w:eastAsia="宋体" w:cs="Times New Roman"/>
          <w:b w:val="0"/>
          <w:bCs w:val="0"/>
          <w:color w:val="auto"/>
          <w:kern w:val="2"/>
          <w:sz w:val="21"/>
          <w:szCs w:val="21"/>
          <w:highlight w:val="none"/>
          <w:lang w:val="en-US" w:eastAsia="zh-CN"/>
        </w:rPr>
        <w:t>1.3.</w:t>
      </w:r>
      <w:r>
        <w:rPr>
          <w:rFonts w:hint="default" w:ascii="Times New Roman" w:hAnsi="Times New Roman" w:eastAsia="宋体" w:cs="Times New Roman"/>
          <w:b w:val="0"/>
          <w:bCs w:val="0"/>
          <w:color w:val="auto"/>
          <w:kern w:val="2"/>
          <w:sz w:val="21"/>
          <w:szCs w:val="21"/>
          <w:highlight w:val="none"/>
          <w:lang w:val="zh-TW" w:eastAsia="zh-TW"/>
        </w:rPr>
        <w:t>2根据创建工作要求开展专项测评工作，具体专项测评工作有：公益广告宣传、农贸市场文明创建、文明村镇创建、入户调查、未成年人专项测评等，专项测评不少于4次。</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b w:val="0"/>
          <w:bCs w:val="0"/>
          <w:color w:val="auto"/>
          <w:kern w:val="2"/>
          <w:sz w:val="21"/>
          <w:szCs w:val="21"/>
          <w:highlight w:val="none"/>
          <w:lang w:val="zh-TW" w:eastAsia="zh-TW"/>
        </w:rPr>
      </w:pPr>
      <w:r>
        <w:rPr>
          <w:rFonts w:hint="eastAsia" w:ascii="Times New Roman" w:hAnsi="Times New Roman" w:eastAsia="宋体" w:cs="Times New Roman"/>
          <w:b w:val="0"/>
          <w:bCs w:val="0"/>
          <w:color w:val="auto"/>
          <w:kern w:val="2"/>
          <w:sz w:val="21"/>
          <w:szCs w:val="21"/>
          <w:highlight w:val="none"/>
          <w:lang w:val="en-US" w:eastAsia="zh-CN"/>
        </w:rPr>
        <w:t>1.3.</w:t>
      </w:r>
      <w:r>
        <w:rPr>
          <w:rFonts w:hint="default" w:ascii="Times New Roman" w:hAnsi="Times New Roman" w:eastAsia="宋体" w:cs="Times New Roman"/>
          <w:b w:val="0"/>
          <w:bCs w:val="0"/>
          <w:color w:val="auto"/>
          <w:kern w:val="2"/>
          <w:sz w:val="21"/>
          <w:szCs w:val="21"/>
          <w:highlight w:val="none"/>
          <w:lang w:val="zh-TW" w:eastAsia="zh-TW"/>
        </w:rPr>
        <w:t>3对于测评发现的问题，依托“浙里甬文明”平台实时记录发现的问题、第一时间上传管理平台，并及时完成对问题照片的处置及闭环工作。</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b w:val="0"/>
          <w:bCs w:val="0"/>
          <w:color w:val="auto"/>
          <w:kern w:val="2"/>
          <w:sz w:val="21"/>
          <w:szCs w:val="21"/>
          <w:highlight w:val="none"/>
          <w:lang w:val="zh-TW" w:eastAsia="zh-TW"/>
        </w:rPr>
      </w:pPr>
      <w:r>
        <w:rPr>
          <w:rFonts w:hint="eastAsia" w:ascii="Times New Roman" w:hAnsi="Times New Roman" w:eastAsia="宋体" w:cs="Times New Roman"/>
          <w:b w:val="0"/>
          <w:bCs w:val="0"/>
          <w:color w:val="auto"/>
          <w:kern w:val="2"/>
          <w:sz w:val="21"/>
          <w:szCs w:val="21"/>
          <w:highlight w:val="none"/>
          <w:lang w:val="en-US" w:eastAsia="zh-CN"/>
        </w:rPr>
        <w:t>1.3.</w:t>
      </w:r>
      <w:r>
        <w:rPr>
          <w:rFonts w:hint="default" w:ascii="Times New Roman" w:hAnsi="Times New Roman" w:eastAsia="宋体" w:cs="Times New Roman"/>
          <w:b w:val="0"/>
          <w:bCs w:val="0"/>
          <w:color w:val="auto"/>
          <w:kern w:val="2"/>
          <w:sz w:val="21"/>
          <w:szCs w:val="21"/>
          <w:highlight w:val="none"/>
          <w:lang w:val="zh-TW" w:eastAsia="zh-TW"/>
        </w:rPr>
        <w:t>4检查标准：按照《全国文明城市测评体系》《全国未成年人思想道德建设工作测评体系》《浙江省城市文明程度指数测评体系》等执行，并根据工作要求适时调整。</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b w:val="0"/>
          <w:bCs w:val="0"/>
          <w:color w:val="auto"/>
          <w:kern w:val="2"/>
          <w:sz w:val="21"/>
          <w:szCs w:val="21"/>
          <w:highlight w:val="none"/>
          <w:lang w:val="zh-TW" w:eastAsia="zh-TW"/>
        </w:rPr>
      </w:pPr>
      <w:r>
        <w:rPr>
          <w:rFonts w:hint="eastAsia" w:ascii="Times New Roman" w:hAnsi="Times New Roman" w:eastAsia="宋体" w:cs="Times New Roman"/>
          <w:b w:val="0"/>
          <w:bCs w:val="0"/>
          <w:color w:val="auto"/>
          <w:kern w:val="2"/>
          <w:sz w:val="21"/>
          <w:szCs w:val="21"/>
          <w:highlight w:val="none"/>
          <w:lang w:val="en-US" w:eastAsia="zh-CN"/>
        </w:rPr>
        <w:t>1.3.</w:t>
      </w:r>
      <w:r>
        <w:rPr>
          <w:rFonts w:hint="default" w:ascii="Times New Roman" w:hAnsi="Times New Roman" w:eastAsia="宋体" w:cs="Times New Roman"/>
          <w:b w:val="0"/>
          <w:bCs w:val="0"/>
          <w:color w:val="auto"/>
          <w:kern w:val="2"/>
          <w:sz w:val="21"/>
          <w:szCs w:val="21"/>
          <w:highlight w:val="none"/>
          <w:lang w:val="zh-TW" w:eastAsia="zh-TW"/>
        </w:rPr>
        <w:t>5按项目实施要求，完成项目所需各类评价报告的撰写，完成各项所需指标的测评。</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b w:val="0"/>
          <w:bCs w:val="0"/>
          <w:color w:val="auto"/>
          <w:kern w:val="2"/>
          <w:sz w:val="21"/>
          <w:szCs w:val="21"/>
          <w:highlight w:val="none"/>
          <w:lang w:val="zh-TW" w:eastAsia="zh-TW"/>
        </w:rPr>
      </w:pPr>
      <w:r>
        <w:rPr>
          <w:rFonts w:hint="eastAsia" w:ascii="Times New Roman" w:hAnsi="Times New Roman" w:eastAsia="宋体" w:cs="Times New Roman"/>
          <w:b w:val="0"/>
          <w:bCs w:val="0"/>
          <w:color w:val="auto"/>
          <w:kern w:val="2"/>
          <w:sz w:val="21"/>
          <w:szCs w:val="21"/>
          <w:highlight w:val="none"/>
          <w:lang w:val="en-US" w:eastAsia="zh-CN"/>
        </w:rPr>
        <w:t>1.3.</w:t>
      </w:r>
      <w:r>
        <w:rPr>
          <w:rFonts w:hint="default" w:ascii="Times New Roman" w:hAnsi="Times New Roman" w:eastAsia="宋体" w:cs="Times New Roman"/>
          <w:b w:val="0"/>
          <w:bCs w:val="0"/>
          <w:color w:val="auto"/>
          <w:kern w:val="2"/>
          <w:sz w:val="21"/>
          <w:szCs w:val="21"/>
          <w:highlight w:val="none"/>
          <w:lang w:val="zh-TW" w:eastAsia="zh-TW"/>
        </w:rPr>
        <w:t>6</w:t>
      </w:r>
      <w:r>
        <w:rPr>
          <w:rFonts w:hint="eastAsia" w:ascii="Times New Roman" w:hAnsi="Times New Roman" w:eastAsia="宋体" w:cs="Times New Roman"/>
          <w:b w:val="0"/>
          <w:bCs w:val="0"/>
          <w:color w:val="auto"/>
          <w:kern w:val="2"/>
          <w:sz w:val="21"/>
          <w:szCs w:val="21"/>
          <w:highlight w:val="none"/>
          <w:lang w:val="en-US" w:eastAsia="zh-CN"/>
        </w:rPr>
        <w:t>甲方</w:t>
      </w:r>
      <w:r>
        <w:rPr>
          <w:rFonts w:hint="default" w:ascii="Times New Roman" w:hAnsi="Times New Roman" w:eastAsia="宋体" w:cs="Times New Roman"/>
          <w:b w:val="0"/>
          <w:bCs w:val="0"/>
          <w:color w:val="auto"/>
          <w:kern w:val="2"/>
          <w:sz w:val="21"/>
          <w:szCs w:val="21"/>
          <w:highlight w:val="none"/>
          <w:lang w:val="zh-TW" w:eastAsia="zh-TW"/>
        </w:rPr>
        <w:t>要求的其他工作。</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二、合同金额</w:t>
      </w:r>
    </w:p>
    <w:p>
      <w:pPr>
        <w:pStyle w:val="22"/>
        <w:widowControl/>
        <w:spacing w:before="0" w:beforeLines="0" w:after="0" w:afterLines="0" w:line="360" w:lineRule="auto"/>
        <w:ind w:firstLine="420" w:firstLineChars="200"/>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2.1服务</w:t>
      </w:r>
      <w:r>
        <w:rPr>
          <w:rFonts w:hint="default" w:ascii="Times New Roman" w:hAnsi="Times New Roman" w:eastAsia="宋体" w:cs="Times New Roman"/>
          <w:color w:val="auto"/>
          <w:kern w:val="2"/>
          <w:sz w:val="21"/>
          <w:szCs w:val="21"/>
          <w:highlight w:val="none"/>
          <w:lang w:val="zh-TW" w:eastAsia="zh-TW"/>
        </w:rPr>
        <w:t>合同金额为（大写）：人民币</w:t>
      </w:r>
      <w:r>
        <w:rPr>
          <w:rFonts w:hint="default" w:ascii="Times New Roman" w:hAnsi="Times New Roman" w:eastAsia="宋体" w:cs="Times New Roman"/>
          <w:color w:val="auto"/>
          <w:kern w:val="2"/>
          <w:sz w:val="21"/>
          <w:szCs w:val="21"/>
          <w:highlight w:val="none"/>
          <w:u w:val="single"/>
          <w:lang w:val="en-US" w:eastAsia="zh-CN"/>
        </w:rPr>
        <w:t xml:space="preserve">       </w:t>
      </w:r>
      <w:r>
        <w:rPr>
          <w:rFonts w:hint="default" w:ascii="Times New Roman" w:hAnsi="Times New Roman" w:eastAsia="宋体" w:cs="Times New Roman"/>
          <w:color w:val="auto"/>
          <w:kern w:val="2"/>
          <w:sz w:val="21"/>
          <w:szCs w:val="21"/>
          <w:highlight w:val="none"/>
          <w:lang w:val="zh-TW" w:eastAsia="zh-TW"/>
        </w:rPr>
        <w:t>元（￥</w:t>
      </w:r>
      <w:r>
        <w:rPr>
          <w:rFonts w:hint="default" w:ascii="Times New Roman" w:hAnsi="Times New Roman" w:eastAsia="宋体" w:cs="Times New Roman"/>
          <w:color w:val="auto"/>
          <w:kern w:val="2"/>
          <w:sz w:val="21"/>
          <w:szCs w:val="21"/>
          <w:highlight w:val="none"/>
          <w:u w:val="single"/>
          <w:lang w:val="en-US" w:eastAsia="zh-CN"/>
        </w:rPr>
        <w:t xml:space="preserve">       </w:t>
      </w:r>
      <w:r>
        <w:rPr>
          <w:rFonts w:hint="default" w:ascii="Times New Roman" w:hAnsi="Times New Roman" w:eastAsia="宋体" w:cs="Times New Roman"/>
          <w:color w:val="auto"/>
          <w:kern w:val="2"/>
          <w:sz w:val="21"/>
          <w:szCs w:val="21"/>
          <w:highlight w:val="none"/>
          <w:lang w:val="zh-TW" w:eastAsia="zh-TW"/>
        </w:rPr>
        <w:t>元）</w:t>
      </w:r>
      <w:r>
        <w:rPr>
          <w:rFonts w:hint="default" w:ascii="Times New Roman" w:hAnsi="Times New Roman" w:eastAsia="宋体" w:cs="Times New Roman"/>
          <w:color w:val="auto"/>
          <w:sz w:val="21"/>
          <w:szCs w:val="21"/>
          <w:highlight w:val="none"/>
        </w:rPr>
        <w:t>；</w:t>
      </w:r>
    </w:p>
    <w:p>
      <w:pPr>
        <w:pStyle w:val="22"/>
        <w:widowControl/>
        <w:spacing w:before="0" w:beforeLines="0" w:after="0" w:afterLines="0" w:line="360" w:lineRule="auto"/>
        <w:ind w:firstLine="420" w:firstLineChars="200"/>
        <w:contextualSpacing/>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kern w:val="2"/>
          <w:sz w:val="21"/>
          <w:szCs w:val="21"/>
          <w:highlight w:val="none"/>
          <w:lang w:val="en-US" w:eastAsia="zh-CN" w:bidi="ar-SA"/>
        </w:rPr>
        <w:t>乙方所报折扣在合同履行期间不因市场变化和政策因素而变动。</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三、技术资料</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3.1</w:t>
      </w:r>
      <w:r>
        <w:rPr>
          <w:rFonts w:hint="default" w:ascii="Times New Roman" w:hAnsi="Times New Roman" w:eastAsia="宋体" w:cs="Times New Roman"/>
          <w:color w:val="auto"/>
          <w:kern w:val="2"/>
          <w:sz w:val="21"/>
          <w:szCs w:val="21"/>
          <w:highlight w:val="none"/>
          <w:lang w:val="zh-TW" w:eastAsia="zh-TW"/>
        </w:rPr>
        <w:t>乙方应按采购文件规定的时间向甲方提供有关技术资料。</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 xml:space="preserve">3.2 </w:t>
      </w:r>
      <w:r>
        <w:rPr>
          <w:rFonts w:hint="default" w:ascii="Times New Roman" w:hAnsi="Times New Roman" w:eastAsia="宋体" w:cs="Times New Roman"/>
          <w:color w:val="auto"/>
          <w:kern w:val="2"/>
          <w:sz w:val="21"/>
          <w:szCs w:val="21"/>
          <w:highlight w:val="none"/>
          <w:lang w:val="zh-TW" w:eastAsia="zh-TW"/>
        </w:rPr>
        <w:t>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四、知识产权</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zh-TW" w:eastAsia="zh-TW"/>
        </w:rPr>
      </w:pPr>
      <w:r>
        <w:rPr>
          <w:rFonts w:hint="default" w:ascii="Times New Roman" w:hAnsi="Times New Roman" w:eastAsia="宋体" w:cs="Times New Roman"/>
          <w:color w:val="auto"/>
          <w:kern w:val="2"/>
          <w:sz w:val="21"/>
          <w:szCs w:val="21"/>
          <w:highlight w:val="none"/>
          <w:lang w:val="zh-TW" w:eastAsia="zh-TW"/>
        </w:rPr>
        <w:t>乙方应保证提供服务过程中不会侵犯任何第三方的知识产权。</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eastAsia"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b/>
          <w:bCs/>
          <w:color w:val="auto"/>
          <w:kern w:val="2"/>
          <w:sz w:val="21"/>
          <w:szCs w:val="21"/>
          <w:highlight w:val="none"/>
          <w:lang w:val="zh-TW" w:eastAsia="zh-TW"/>
        </w:rPr>
        <w:t>五、履约保证金</w:t>
      </w:r>
      <w:r>
        <w:rPr>
          <w:rFonts w:hint="eastAsia" w:ascii="Times New Roman" w:hAnsi="Times New Roman" w:eastAsia="宋体" w:cs="Times New Roman"/>
          <w:b/>
          <w:bCs/>
          <w:color w:val="auto"/>
          <w:kern w:val="2"/>
          <w:sz w:val="21"/>
          <w:szCs w:val="21"/>
          <w:highlight w:val="none"/>
          <w:lang w:val="zh-TW" w:eastAsia="zh-CN"/>
        </w:rPr>
        <w:t>（</w:t>
      </w:r>
      <w:r>
        <w:rPr>
          <w:rFonts w:hint="eastAsia" w:ascii="Times New Roman" w:hAnsi="Times New Roman" w:eastAsia="宋体" w:cs="Times New Roman"/>
          <w:b/>
          <w:bCs/>
          <w:color w:val="auto"/>
          <w:kern w:val="2"/>
          <w:sz w:val="21"/>
          <w:szCs w:val="21"/>
          <w:highlight w:val="none"/>
          <w:lang w:val="en-US" w:eastAsia="zh-CN"/>
        </w:rPr>
        <w:t>本项目无</w:t>
      </w:r>
      <w:r>
        <w:rPr>
          <w:rFonts w:hint="default" w:ascii="Times New Roman" w:hAnsi="Times New Roman" w:eastAsia="宋体" w:cs="Times New Roman"/>
          <w:b/>
          <w:bCs/>
          <w:color w:val="auto"/>
          <w:kern w:val="2"/>
          <w:sz w:val="21"/>
          <w:szCs w:val="21"/>
          <w:highlight w:val="none"/>
          <w:lang w:val="zh-TW" w:eastAsia="zh-TW"/>
        </w:rPr>
        <w:t>履约保证金</w:t>
      </w:r>
      <w:r>
        <w:rPr>
          <w:rFonts w:hint="eastAsia" w:ascii="Times New Roman" w:hAnsi="Times New Roman" w:eastAsia="宋体" w:cs="Times New Roman"/>
          <w:b/>
          <w:bCs/>
          <w:color w:val="auto"/>
          <w:kern w:val="2"/>
          <w:sz w:val="21"/>
          <w:szCs w:val="21"/>
          <w:highlight w:val="none"/>
          <w:lang w:val="zh-TW" w:eastAsia="zh-CN"/>
        </w:rPr>
        <w:t>）</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lang w:val="zh-TW" w:eastAsia="zh-TW"/>
        </w:rPr>
        <w:t>六</w:t>
      </w:r>
      <w:r>
        <w:rPr>
          <w:rFonts w:hint="eastAsia" w:ascii="Times New Roman" w:hAnsi="Times New Roman" w:eastAsia="宋体" w:cs="Times New Roman"/>
          <w:b/>
          <w:bCs/>
          <w:color w:val="auto"/>
          <w:kern w:val="2"/>
          <w:sz w:val="21"/>
          <w:szCs w:val="21"/>
          <w:highlight w:val="none"/>
          <w:lang w:val="zh-TW" w:eastAsia="zh-CN"/>
        </w:rPr>
        <w:t>、</w:t>
      </w:r>
      <w:r>
        <w:rPr>
          <w:rFonts w:hint="default" w:ascii="Times New Roman" w:hAnsi="Times New Roman" w:eastAsia="宋体" w:cs="Times New Roman"/>
          <w:b/>
          <w:bCs/>
          <w:color w:val="auto"/>
          <w:kern w:val="2"/>
          <w:sz w:val="21"/>
          <w:szCs w:val="21"/>
          <w:highlight w:val="none"/>
          <w:lang w:val="zh-TW" w:eastAsia="zh-TW"/>
        </w:rPr>
        <w:t>转包或分包</w:t>
      </w:r>
    </w:p>
    <w:p>
      <w:pPr>
        <w:pStyle w:val="148"/>
        <w:keepNext w:val="0"/>
        <w:keepLines w:val="0"/>
        <w:pageBreakBefore w:val="0"/>
        <w:framePr w:wrap="auto" w:vAnchor="margin" w:hAnchor="text" w:yAlign="inline"/>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6.1</w:t>
      </w:r>
      <w:r>
        <w:rPr>
          <w:rFonts w:hint="default" w:ascii="Times New Roman" w:hAnsi="Times New Roman" w:eastAsia="宋体" w:cs="Times New Roman"/>
          <w:color w:val="auto"/>
          <w:highlight w:val="none"/>
          <w:lang w:val="zh-TW" w:eastAsia="zh-TW"/>
        </w:rPr>
        <w:t>本合同范围的服务，应由乙方直接供应，不得转让他人供应；</w:t>
      </w:r>
    </w:p>
    <w:p>
      <w:pPr>
        <w:pStyle w:val="148"/>
        <w:keepNext w:val="0"/>
        <w:keepLines w:val="0"/>
        <w:pageBreakBefore w:val="0"/>
        <w:framePr w:wrap="auto" w:vAnchor="margin" w:hAnchor="text" w:yAlign="inline"/>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6.2 </w:t>
      </w:r>
      <w:r>
        <w:rPr>
          <w:rFonts w:hint="default" w:ascii="Times New Roman" w:hAnsi="Times New Roman" w:eastAsia="宋体" w:cs="Times New Roman"/>
          <w:color w:val="auto"/>
          <w:highlight w:val="none"/>
          <w:lang w:val="zh-TW" w:eastAsia="zh-TW"/>
        </w:rPr>
        <w:t>除非得到甲方的书面同意，乙方不得部分分包给他人供应。甲方有绝对权力阻止分包。</w:t>
      </w:r>
    </w:p>
    <w:p>
      <w:pPr>
        <w:pStyle w:val="148"/>
        <w:keepNext w:val="0"/>
        <w:keepLines w:val="0"/>
        <w:pageBreakBefore w:val="0"/>
        <w:framePr w:wrap="auto" w:vAnchor="margin" w:hAnchor="text" w:yAlign="inline"/>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6.3</w:t>
      </w:r>
      <w:r>
        <w:rPr>
          <w:rFonts w:hint="default" w:ascii="Times New Roman" w:hAnsi="Times New Roman" w:eastAsia="宋体" w:cs="Times New Roman"/>
          <w:color w:val="auto"/>
          <w:highlight w:val="none"/>
          <w:lang w:val="zh-TW" w:eastAsia="zh-TW"/>
        </w:rPr>
        <w:t>如有转让和未经甲方同意的分包行为，甲方有权给予终止合同。</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七、合同履行时间、履行方式及履行地点</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 xml:space="preserve">7.1 </w:t>
      </w:r>
      <w:r>
        <w:rPr>
          <w:rFonts w:hint="default" w:ascii="Times New Roman" w:hAnsi="Times New Roman" w:eastAsia="宋体" w:cs="Times New Roman"/>
          <w:color w:val="auto"/>
          <w:kern w:val="2"/>
          <w:sz w:val="21"/>
          <w:szCs w:val="21"/>
          <w:highlight w:val="none"/>
          <w:lang w:val="zh-TW" w:eastAsia="zh-TW"/>
        </w:rPr>
        <w:t>履行时间：</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 xml:space="preserve">7.2 </w:t>
      </w:r>
      <w:r>
        <w:rPr>
          <w:rFonts w:hint="default" w:ascii="Times New Roman" w:hAnsi="Times New Roman" w:eastAsia="宋体" w:cs="Times New Roman"/>
          <w:color w:val="auto"/>
          <w:kern w:val="2"/>
          <w:sz w:val="21"/>
          <w:szCs w:val="21"/>
          <w:highlight w:val="none"/>
          <w:lang w:val="zh-TW" w:eastAsia="zh-TW"/>
        </w:rPr>
        <w:t>履行方式：</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 xml:space="preserve">7.3 </w:t>
      </w:r>
      <w:r>
        <w:rPr>
          <w:rFonts w:hint="default" w:ascii="Times New Roman" w:hAnsi="Times New Roman" w:eastAsia="宋体" w:cs="Times New Roman"/>
          <w:color w:val="auto"/>
          <w:kern w:val="2"/>
          <w:sz w:val="21"/>
          <w:szCs w:val="21"/>
          <w:highlight w:val="none"/>
          <w:lang w:val="zh-TW" w:eastAsia="zh-TW"/>
        </w:rPr>
        <w:t>履行地点：</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rPr>
        <w:t>八</w:t>
      </w:r>
      <w:r>
        <w:rPr>
          <w:rFonts w:hint="default" w:ascii="Times New Roman" w:hAnsi="Times New Roman" w:eastAsia="宋体" w:cs="Times New Roman"/>
          <w:b/>
          <w:bCs/>
          <w:color w:val="auto"/>
          <w:kern w:val="2"/>
          <w:sz w:val="21"/>
          <w:szCs w:val="21"/>
          <w:highlight w:val="none"/>
          <w:lang w:val="zh-TW" w:eastAsia="zh-TW"/>
        </w:rPr>
        <w:t>、款项支付</w:t>
      </w:r>
    </w:p>
    <w:p>
      <w:pPr>
        <w:pStyle w:val="148"/>
        <w:keepNext w:val="0"/>
        <w:keepLines w:val="0"/>
        <w:pageBreakBefore w:val="0"/>
        <w:framePr w:wrap="auto" w:vAnchor="margin" w:hAnchor="text" w:yAlign="inline"/>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1、在合同生效以及具备实施条件后7个工作日内支付合同总价的70%作为预付款；</w:t>
      </w:r>
    </w:p>
    <w:p>
      <w:pPr>
        <w:pStyle w:val="148"/>
        <w:keepNext w:val="0"/>
        <w:keepLines w:val="0"/>
        <w:pageBreakBefore w:val="0"/>
        <w:framePr w:wrap="auto" w:vAnchor="margin" w:hAnchor="text" w:yAlign="inline"/>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2、合同履约完成并经考核后支付剩余余款。</w:t>
      </w:r>
    </w:p>
    <w:p>
      <w:pPr>
        <w:pStyle w:val="148"/>
        <w:keepNext w:val="0"/>
        <w:keepLines w:val="0"/>
        <w:pageBreakBefore w:val="0"/>
        <w:framePr w:wrap="auto" w:vAnchor="margin" w:hAnchor="text" w:yAlign="inline"/>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注：甲方自收到发票后7个工作日内支付款项。</w:t>
      </w:r>
    </w:p>
    <w:p>
      <w:pPr>
        <w:pStyle w:val="148"/>
        <w:keepNext w:val="0"/>
        <w:keepLines w:val="0"/>
        <w:pageBreakBefore w:val="0"/>
        <w:framePr w:wrap="auto" w:vAnchor="margin" w:hAnchor="text" w:yAlign="inline"/>
        <w:kinsoku/>
        <w:wordWrap/>
        <w:overflowPunct/>
        <w:topLinePunct w:val="0"/>
        <w:autoSpaceDE/>
        <w:autoSpaceDN/>
        <w:bidi w:val="0"/>
        <w:adjustRightInd/>
        <w:snapToGrid/>
        <w:spacing w:line="360" w:lineRule="auto"/>
        <w:ind w:left="0" w:leftChars="0" w:firstLine="422" w:firstLineChars="200"/>
        <w:jc w:val="both"/>
        <w:textAlignment w:val="auto"/>
        <w:rPr>
          <w:rFonts w:hint="default" w:ascii="Times New Roman" w:hAnsi="Times New Roman" w:eastAsia="宋体" w:cs="Times New Roman"/>
          <w:b/>
          <w:bCs/>
          <w:color w:val="auto"/>
          <w:highlight w:val="none"/>
          <w:lang w:val="zh-TW" w:eastAsia="zh-TW"/>
        </w:rPr>
      </w:pPr>
      <w:r>
        <w:rPr>
          <w:rFonts w:hint="default" w:ascii="Times New Roman" w:hAnsi="Times New Roman" w:eastAsia="宋体" w:cs="Times New Roman"/>
          <w:b/>
          <w:bCs/>
          <w:color w:val="auto"/>
          <w:highlight w:val="none"/>
        </w:rPr>
        <w:t>九</w:t>
      </w:r>
      <w:r>
        <w:rPr>
          <w:rFonts w:hint="default" w:ascii="Times New Roman" w:hAnsi="Times New Roman" w:eastAsia="宋体" w:cs="Times New Roman"/>
          <w:b/>
          <w:bCs/>
          <w:color w:val="auto"/>
          <w:highlight w:val="none"/>
          <w:lang w:val="zh-TW" w:eastAsia="zh-TW"/>
        </w:rPr>
        <w:t>、税费</w:t>
      </w:r>
    </w:p>
    <w:p>
      <w:pPr>
        <w:pStyle w:val="148"/>
        <w:keepNext w:val="0"/>
        <w:keepLines w:val="0"/>
        <w:pageBreakBefore w:val="0"/>
        <w:framePr w:wrap="auto" w:vAnchor="margin" w:hAnchor="text" w:yAlign="inline"/>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highlight w:val="none"/>
          <w:lang w:val="zh-TW" w:eastAsia="zh-TW"/>
        </w:rPr>
      </w:pPr>
      <w:r>
        <w:rPr>
          <w:rFonts w:hint="default" w:ascii="Times New Roman" w:hAnsi="Times New Roman" w:eastAsia="宋体" w:cs="Times New Roman"/>
          <w:color w:val="auto"/>
          <w:highlight w:val="none"/>
          <w:lang w:val="zh-TW" w:eastAsia="zh-TW"/>
        </w:rPr>
        <w:t>本合同执行中相关的一切税费均由乙方负担。</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十、质量保证及后续服务</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10.1</w:t>
      </w:r>
      <w:r>
        <w:rPr>
          <w:rFonts w:hint="default" w:ascii="Times New Roman" w:hAnsi="Times New Roman" w:eastAsia="宋体" w:cs="Times New Roman"/>
          <w:color w:val="auto"/>
          <w:kern w:val="2"/>
          <w:sz w:val="21"/>
          <w:szCs w:val="21"/>
          <w:highlight w:val="none"/>
          <w:lang w:val="zh-TW" w:eastAsia="zh-TW"/>
        </w:rPr>
        <w:t>乙方应按采购文件规定向甲方提供服务。</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10.2</w:t>
      </w:r>
      <w:r>
        <w:rPr>
          <w:rFonts w:hint="default" w:ascii="Times New Roman" w:hAnsi="Times New Roman" w:eastAsia="宋体" w:cs="Times New Roman"/>
          <w:color w:val="auto"/>
          <w:kern w:val="2"/>
          <w:sz w:val="21"/>
          <w:szCs w:val="21"/>
          <w:highlight w:val="none"/>
          <w:lang w:val="zh-TW" w:eastAsia="zh-TW"/>
        </w:rPr>
        <w:t>乙方提供的服务成果发生故障，乙方应负责免费提供后续服务。对达不到要求的，根据实际情况，经双方协商，可按以下办法处理：</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rPr>
        <w:t>1</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zh-TW" w:eastAsia="zh-TW"/>
        </w:rPr>
        <w:t>重做：由乙方承担所发生的全部费用。</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zh-TW" w:eastAsia="zh-CN"/>
        </w:rPr>
        <w:t>（</w:t>
      </w:r>
      <w:r>
        <w:rPr>
          <w:rFonts w:hint="default" w:ascii="Times New Roman" w:hAnsi="Times New Roman" w:eastAsia="宋体" w:cs="Times New Roman"/>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lang w:val="zh-TW" w:eastAsia="zh-CN"/>
        </w:rPr>
        <w:t>）</w:t>
      </w:r>
      <w:r>
        <w:rPr>
          <w:rFonts w:hint="default" w:ascii="Times New Roman" w:hAnsi="Times New Roman" w:eastAsia="宋体" w:cs="Times New Roman"/>
          <w:color w:val="auto"/>
          <w:kern w:val="2"/>
          <w:sz w:val="21"/>
          <w:szCs w:val="21"/>
          <w:highlight w:val="none"/>
          <w:lang w:val="zh-TW" w:eastAsia="zh-TW"/>
        </w:rPr>
        <w:t>贬值处理：由甲乙双方合议定价。</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zh-TW" w:eastAsia="zh-TW"/>
        </w:rPr>
        <w:t>解除合同。</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十</w:t>
      </w:r>
      <w:r>
        <w:rPr>
          <w:rFonts w:hint="default" w:ascii="Times New Roman" w:hAnsi="Times New Roman" w:eastAsia="宋体" w:cs="Times New Roman"/>
          <w:b/>
          <w:bCs/>
          <w:color w:val="auto"/>
          <w:kern w:val="2"/>
          <w:sz w:val="21"/>
          <w:szCs w:val="21"/>
          <w:highlight w:val="none"/>
        </w:rPr>
        <w:t>一</w:t>
      </w:r>
      <w:r>
        <w:rPr>
          <w:rFonts w:hint="default" w:ascii="Times New Roman" w:hAnsi="Times New Roman" w:eastAsia="宋体" w:cs="Times New Roman"/>
          <w:b/>
          <w:bCs/>
          <w:color w:val="auto"/>
          <w:kern w:val="2"/>
          <w:sz w:val="21"/>
          <w:szCs w:val="21"/>
          <w:highlight w:val="none"/>
          <w:lang w:val="zh-TW" w:eastAsia="zh-TW"/>
        </w:rPr>
        <w:t>、违约责任</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11.1</w:t>
      </w:r>
      <w:r>
        <w:rPr>
          <w:rFonts w:hint="default" w:ascii="Times New Roman" w:hAnsi="Times New Roman" w:eastAsia="宋体" w:cs="Times New Roman"/>
          <w:color w:val="auto"/>
          <w:kern w:val="2"/>
          <w:sz w:val="21"/>
          <w:szCs w:val="21"/>
          <w:highlight w:val="none"/>
          <w:lang w:val="zh-TW" w:eastAsia="zh-TW"/>
        </w:rPr>
        <w:t>甲方无正当理由拒绝接受服务的，甲方向乙方偿付合同款项百分之五的违约金。</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11.2</w:t>
      </w:r>
      <w:r>
        <w:rPr>
          <w:rFonts w:hint="default" w:ascii="Times New Roman" w:hAnsi="Times New Roman" w:eastAsia="宋体" w:cs="Times New Roman"/>
          <w:color w:val="auto"/>
          <w:kern w:val="2"/>
          <w:sz w:val="21"/>
          <w:szCs w:val="21"/>
          <w:highlight w:val="none"/>
          <w:lang w:val="zh-TW" w:eastAsia="zh-TW"/>
        </w:rPr>
        <w:t>甲方无故逾期验收和办理款项支付手续的</w:t>
      </w:r>
      <w:r>
        <w:rPr>
          <w:rFonts w:hint="eastAsia"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zh-TW" w:eastAsia="zh-TW"/>
        </w:rPr>
        <w:t>甲方应按逾期付款总额每日万分之五向乙方支付违约金。</w:t>
      </w:r>
    </w:p>
    <w:p>
      <w:pPr>
        <w:pStyle w:val="136"/>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 xml:space="preserve">11.3 </w:t>
      </w:r>
      <w:r>
        <w:rPr>
          <w:rFonts w:hint="default" w:ascii="Times New Roman" w:hAnsi="Times New Roman" w:eastAsia="宋体" w:cs="Times New Roman"/>
          <w:color w:val="auto"/>
          <w:kern w:val="2"/>
          <w:sz w:val="21"/>
          <w:szCs w:val="21"/>
          <w:highlight w:val="none"/>
          <w:lang w:val="zh-TW" w:eastAsia="zh-TW"/>
        </w:rPr>
        <w:t>乙方逾期提供服务的，每日向甲方支付千分之六违约金。逾期超过约定日期</w:t>
      </w:r>
      <w:r>
        <w:rPr>
          <w:rFonts w:hint="default" w:ascii="Times New Roman" w:hAnsi="Times New Roman" w:eastAsia="宋体" w:cs="Times New Roman"/>
          <w:color w:val="auto"/>
          <w:kern w:val="2"/>
          <w:sz w:val="21"/>
          <w:szCs w:val="21"/>
          <w:highlight w:val="none"/>
        </w:rPr>
        <w:t>10</w:t>
      </w:r>
      <w:r>
        <w:rPr>
          <w:rFonts w:hint="default" w:ascii="Times New Roman" w:hAnsi="Times New Roman" w:eastAsia="宋体" w:cs="Times New Roman"/>
          <w:color w:val="auto"/>
          <w:kern w:val="2"/>
          <w:sz w:val="21"/>
          <w:szCs w:val="21"/>
          <w:highlight w:val="none"/>
          <w:lang w:val="zh-TW" w:eastAsia="zh-TW"/>
        </w:rPr>
        <w:t>个工作日不能交货的，甲方可解除本合同。乙方因逾期</w:t>
      </w:r>
      <w:r>
        <w:rPr>
          <w:rFonts w:hint="eastAsia" w:ascii="Times New Roman" w:hAnsi="Times New Roman" w:eastAsia="宋体" w:cs="Times New Roman"/>
          <w:color w:val="auto"/>
          <w:kern w:val="2"/>
          <w:sz w:val="21"/>
          <w:szCs w:val="21"/>
          <w:highlight w:val="none"/>
          <w:lang w:val="en-US" w:eastAsia="zh-CN"/>
        </w:rPr>
        <w:t>完成服务的</w:t>
      </w:r>
      <w:r>
        <w:rPr>
          <w:rFonts w:hint="default" w:ascii="Times New Roman" w:hAnsi="Times New Roman" w:eastAsia="宋体" w:cs="Times New Roman"/>
          <w:color w:val="auto"/>
          <w:kern w:val="2"/>
          <w:sz w:val="21"/>
          <w:szCs w:val="21"/>
          <w:highlight w:val="none"/>
          <w:lang w:val="zh-TW" w:eastAsia="zh-TW"/>
        </w:rPr>
        <w:t>或因其他违约行为导致甲方解除合同的，乙方应向甲方支付合同总值</w:t>
      </w:r>
      <w:r>
        <w:rPr>
          <w:rFonts w:hint="default" w:ascii="Times New Roman" w:hAnsi="Times New Roman" w:eastAsia="宋体" w:cs="Times New Roman"/>
          <w:color w:val="auto"/>
          <w:kern w:val="2"/>
          <w:sz w:val="21"/>
          <w:szCs w:val="21"/>
          <w:highlight w:val="none"/>
        </w:rPr>
        <w:t>5%</w:t>
      </w:r>
      <w:r>
        <w:rPr>
          <w:rFonts w:hint="default" w:ascii="Times New Roman" w:hAnsi="Times New Roman" w:eastAsia="宋体" w:cs="Times New Roman"/>
          <w:color w:val="auto"/>
          <w:kern w:val="2"/>
          <w:sz w:val="21"/>
          <w:szCs w:val="21"/>
          <w:highlight w:val="none"/>
          <w:lang w:val="zh-TW" w:eastAsia="zh-TW"/>
        </w:rPr>
        <w:t xml:space="preserve">的违约金，如造成甲方损失超过违约金的，超出部分由乙方继续承担赔偿责任。 </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2" w:firstLineChars="200"/>
        <w:jc w:val="both"/>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十二、不可抗力事件处理</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12.1在合同有效期内，任何一方因不可抗力事件导致不能履行合同，则合同履行期可延长，其延长期与不可抗力影响期相同。</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12.2不可抗力事件发生后，应立即通知对方，并寄送有关权威机构出具的证明。</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12.3不可抗力事件延续</w:t>
      </w:r>
      <w:r>
        <w:rPr>
          <w:rFonts w:hint="default" w:ascii="Times New Roman" w:hAnsi="Times New Roman" w:eastAsia="宋体" w:cs="Times New Roman"/>
          <w:color w:val="auto"/>
          <w:sz w:val="21"/>
          <w:szCs w:val="21"/>
          <w:highlight w:val="none"/>
          <w:lang w:val="en-US" w:eastAsia="zh-CN"/>
        </w:rPr>
        <w:t>120</w:t>
      </w:r>
      <w:r>
        <w:rPr>
          <w:rFonts w:hint="default" w:ascii="Times New Roman" w:hAnsi="Times New Roman" w:eastAsia="宋体" w:cs="Times New Roman"/>
          <w:color w:val="auto"/>
          <w:sz w:val="21"/>
          <w:szCs w:val="21"/>
          <w:highlight w:val="none"/>
        </w:rPr>
        <w:t>天以上，双方应通过友好协商，确定是否继续履行合同。</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2" w:firstLineChars="200"/>
        <w:jc w:val="both"/>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十三、诉讼</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13.1双方在执行合同中所发生的一切争议，应通过协商解决。如协商不成，可向合同签订地法院起诉，合同签订地在此约定为宁波市。</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2" w:firstLineChars="200"/>
        <w:jc w:val="both"/>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十四、合同生效及其它</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14.1合同经双方法定代表人或授权委托代理人签名并加盖单位公章后生效。</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14.2合同执行中涉及采购资金和采购内容修改或补充的，须经区财政部门审批，并签书面补充协议报政府采购监督管理部门备案，方可作为主合同不可分割的一部分。</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14.3本合同未尽事宜，遵照《中华人民共和国民法典》有关条文执行。</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14.4 本合同正本一式</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份，具有同等法律效力</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甲乙双方各执</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份；副本</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份。</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630" w:firstLineChars="3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甲方：                                   乙方： </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地址：                                   地址： </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法定代表人：                             法定代表人：</w:t>
      </w:r>
    </w:p>
    <w:p>
      <w:pPr>
        <w:pStyle w:val="22"/>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630" w:firstLineChars="300"/>
        <w:jc w:val="both"/>
        <w:textAlignment w:val="auto"/>
        <w:rPr>
          <w:rFonts w:hint="default"/>
          <w:color w:val="auto"/>
          <w:highlight w:val="none"/>
          <w:lang w:val="en-US" w:eastAsia="zh-CN"/>
        </w:rPr>
        <w:sectPr>
          <w:pgSz w:w="11906" w:h="16838"/>
          <w:pgMar w:top="1440" w:right="1803" w:bottom="1440" w:left="1803" w:header="851" w:footer="850" w:gutter="0"/>
          <w:pgNumType w:fmt="decimal"/>
          <w:cols w:space="720" w:num="1"/>
          <w:docGrid w:linePitch="312" w:charSpace="0"/>
        </w:sectPr>
      </w:pPr>
      <w:r>
        <w:rPr>
          <w:rFonts w:hint="default" w:ascii="Times New Roman" w:hAnsi="Times New Roman" w:eastAsia="宋体" w:cs="Times New Roman"/>
          <w:color w:val="auto"/>
          <w:sz w:val="21"/>
          <w:szCs w:val="21"/>
          <w:highlight w:val="none"/>
        </w:rPr>
        <w:t>签订地点：                               签订日期：     年     月     日</w:t>
      </w:r>
    </w:p>
    <w:p>
      <w:pPr>
        <w:pStyle w:val="2"/>
        <w:rPr>
          <w:rFonts w:hint="default"/>
          <w:color w:val="auto"/>
          <w:highlight w:val="none"/>
          <w:lang w:val="en-US" w:eastAsia="zh-CN"/>
        </w:rPr>
      </w:pPr>
    </w:p>
    <w:p>
      <w:pPr>
        <w:pStyle w:val="22"/>
        <w:tabs>
          <w:tab w:val="left" w:pos="2472"/>
        </w:tabs>
        <w:spacing w:before="0" w:beforeLines="0" w:after="0" w:afterLines="0" w:line="360" w:lineRule="auto"/>
        <w:jc w:val="center"/>
        <w:outlineLvl w:val="0"/>
        <w:rPr>
          <w:rFonts w:hint="default" w:ascii="Times New Roman" w:hAnsi="Times New Roman" w:cs="Times New Roman"/>
          <w:b/>
          <w:color w:val="auto"/>
          <w:highlight w:val="none"/>
        </w:rPr>
      </w:pPr>
      <w:bookmarkStart w:id="56" w:name="_Toc17600"/>
      <w:bookmarkStart w:id="57" w:name="_Toc30522"/>
      <w:bookmarkStart w:id="58" w:name="_Toc29461"/>
      <w:bookmarkStart w:id="59" w:name="_Toc12264"/>
      <w:bookmarkStart w:id="60" w:name="_Toc18068_WPSOffice_Level1"/>
      <w:bookmarkStart w:id="61" w:name="_Toc28014"/>
      <w:bookmarkStart w:id="62" w:name="_Toc6340"/>
      <w:bookmarkStart w:id="63" w:name="_Toc27821"/>
      <w:r>
        <w:rPr>
          <w:rFonts w:hint="default" w:ascii="Times New Roman" w:hAnsi="Times New Roman" w:cs="Times New Roman"/>
          <w:b/>
          <w:color w:val="auto"/>
          <w:highlight w:val="none"/>
        </w:rPr>
        <w:t>第六章 投标文件格式</w:t>
      </w:r>
      <w:bookmarkEnd w:id="56"/>
      <w:bookmarkEnd w:id="57"/>
      <w:bookmarkEnd w:id="58"/>
      <w:bookmarkEnd w:id="59"/>
      <w:bookmarkEnd w:id="60"/>
      <w:bookmarkEnd w:id="61"/>
      <w:bookmarkEnd w:id="62"/>
      <w:bookmarkEnd w:id="63"/>
    </w:p>
    <w:p>
      <w:pPr>
        <w:pStyle w:val="22"/>
        <w:tabs>
          <w:tab w:val="left" w:pos="2472"/>
        </w:tabs>
        <w:spacing w:before="0" w:beforeLines="0" w:after="0" w:afterLines="0" w:line="360" w:lineRule="auto"/>
        <w:jc w:val="center"/>
        <w:rPr>
          <w:rFonts w:hint="default" w:ascii="Times New Roman" w:hAnsi="Times New Roman" w:cs="Times New Roman"/>
          <w:b/>
          <w:color w:val="auto"/>
          <w:sz w:val="21"/>
          <w:szCs w:val="21"/>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1.所有投标文件的外包装封面格式：（可选用）</w:t>
      </w:r>
    </w:p>
    <w:p>
      <w:pPr>
        <w:spacing w:line="360" w:lineRule="auto"/>
        <w:jc w:val="center"/>
        <w:rPr>
          <w:rFonts w:hint="default" w:ascii="Times New Roman" w:hAnsi="Times New Roman" w:cs="Times New Roman"/>
          <w:bCs/>
          <w:color w:val="auto"/>
          <w:szCs w:val="21"/>
          <w:highlight w:val="none"/>
        </w:rPr>
      </w:pPr>
    </w:p>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投 标 文 件</w:t>
      </w:r>
    </w:p>
    <w:p>
      <w:pPr>
        <w:spacing w:line="360" w:lineRule="auto"/>
        <w:rPr>
          <w:rFonts w:hint="default" w:ascii="Times New Roman" w:hAnsi="Times New Roman" w:cs="Times New Roman"/>
          <w:bCs/>
          <w:color w:val="auto"/>
          <w:szCs w:val="21"/>
          <w:highlight w:val="none"/>
        </w:rPr>
      </w:pPr>
    </w:p>
    <w:p>
      <w:pPr>
        <w:spacing w:line="360" w:lineRule="auto"/>
        <w:ind w:firstLine="1785" w:firstLineChars="85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 xml:space="preserve">项目名称：        </w:t>
      </w:r>
    </w:p>
    <w:p>
      <w:pPr>
        <w:spacing w:line="360" w:lineRule="auto"/>
        <w:ind w:firstLine="1785" w:firstLineChars="85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项目编号：</w:t>
      </w:r>
    </w:p>
    <w:p>
      <w:pPr>
        <w:spacing w:line="360" w:lineRule="auto"/>
        <w:ind w:firstLine="1785" w:firstLineChars="85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投标文件名称：报价文件/资格证明文件/技术商务文件</w:t>
      </w:r>
    </w:p>
    <w:p>
      <w:pPr>
        <w:pStyle w:val="11"/>
        <w:spacing w:line="360" w:lineRule="auto"/>
        <w:ind w:firstLine="1785" w:firstLineChars="85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投标人名称（公章）：</w:t>
      </w:r>
    </w:p>
    <w:p>
      <w:pPr>
        <w:pStyle w:val="11"/>
        <w:spacing w:line="360" w:lineRule="auto"/>
        <w:ind w:firstLine="1785" w:firstLineChars="85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投标人地址：</w:t>
      </w:r>
    </w:p>
    <w:p>
      <w:pPr>
        <w:pStyle w:val="11"/>
        <w:spacing w:line="360" w:lineRule="auto"/>
        <w:ind w:firstLine="1785" w:firstLineChars="8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开标前不得启封</w:t>
      </w:r>
    </w:p>
    <w:p>
      <w:pPr>
        <w:pStyle w:val="11"/>
        <w:spacing w:line="360" w:lineRule="auto"/>
        <w:ind w:firstLine="1785" w:firstLineChars="850"/>
        <w:rPr>
          <w:rFonts w:hint="default" w:ascii="Times New Roman" w:hAnsi="Times New Roman" w:cs="Times New Roman"/>
          <w:bCs/>
          <w:color w:val="auto"/>
          <w:szCs w:val="21"/>
          <w:highlight w:val="none"/>
        </w:rPr>
      </w:pPr>
    </w:p>
    <w:p>
      <w:pPr>
        <w:spacing w:line="360" w:lineRule="auto"/>
        <w:ind w:firstLine="645"/>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 xml:space="preserve">                        年  月  日</w:t>
      </w:r>
    </w:p>
    <w:p>
      <w:pPr>
        <w:spacing w:line="360" w:lineRule="auto"/>
        <w:jc w:val="center"/>
        <w:rPr>
          <w:rFonts w:hint="default" w:ascii="Times New Roman" w:hAnsi="Times New Roman" w:cs="Times New Roman"/>
          <w:color w:val="auto"/>
          <w:szCs w:val="21"/>
          <w:highlight w:val="none"/>
        </w:rPr>
      </w:pPr>
    </w:p>
    <w:p>
      <w:pPr>
        <w:spacing w:line="360" w:lineRule="auto"/>
        <w:jc w:val="center"/>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2.封面格式：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360" w:lineRule="auto"/>
        <w:rPr>
          <w:rFonts w:hint="default" w:ascii="Times New Roman" w:hAnsi="Times New Roman" w:cs="Times New Roman"/>
          <w:bCs/>
          <w:color w:val="auto"/>
          <w:szCs w:val="21"/>
          <w:highlight w:val="none"/>
        </w:rPr>
      </w:pPr>
    </w:p>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投 标 文 件</w:t>
      </w:r>
    </w:p>
    <w:p>
      <w:pPr>
        <w:spacing w:line="360" w:lineRule="auto"/>
        <w:rPr>
          <w:rFonts w:hint="default" w:ascii="Times New Roman" w:hAnsi="Times New Roman" w:cs="Times New Roman"/>
          <w:bCs/>
          <w:color w:val="auto"/>
          <w:szCs w:val="21"/>
          <w:highlight w:val="none"/>
        </w:rPr>
      </w:pPr>
    </w:p>
    <w:p>
      <w:pPr>
        <w:spacing w:line="360" w:lineRule="auto"/>
        <w:ind w:firstLine="1575" w:firstLineChars="75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 xml:space="preserve">项目名称： </w:t>
      </w:r>
    </w:p>
    <w:p>
      <w:pPr>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 xml:space="preserve">               项目编号： </w:t>
      </w:r>
    </w:p>
    <w:p>
      <w:pPr>
        <w:spacing w:line="360" w:lineRule="auto"/>
        <w:ind w:firstLine="1575" w:firstLineChars="75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投标文件名称：报价文件/资格证明文件/技术商务文件</w:t>
      </w:r>
    </w:p>
    <w:p>
      <w:pPr>
        <w:pStyle w:val="11"/>
        <w:spacing w:line="360" w:lineRule="auto"/>
        <w:ind w:firstLine="1575" w:firstLineChars="75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投标人名称（公章）：</w:t>
      </w:r>
    </w:p>
    <w:p>
      <w:pPr>
        <w:pStyle w:val="11"/>
        <w:spacing w:line="360" w:lineRule="auto"/>
        <w:ind w:firstLine="1575" w:firstLineChars="75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投标人地址：</w:t>
      </w:r>
    </w:p>
    <w:p>
      <w:pPr>
        <w:pStyle w:val="11"/>
        <w:spacing w:line="360" w:lineRule="auto"/>
        <w:ind w:firstLine="840" w:firstLineChars="400"/>
        <w:rPr>
          <w:rFonts w:hint="default" w:ascii="Times New Roman" w:hAnsi="Times New Roman" w:cs="Times New Roman"/>
          <w:bCs/>
          <w:color w:val="auto"/>
          <w:szCs w:val="21"/>
          <w:highlight w:val="none"/>
        </w:rPr>
      </w:pPr>
    </w:p>
    <w:p>
      <w:pPr>
        <w:pStyle w:val="11"/>
        <w:spacing w:line="360" w:lineRule="auto"/>
        <w:ind w:firstLine="873" w:firstLineChars="416"/>
        <w:rPr>
          <w:rFonts w:hint="default" w:ascii="Times New Roman" w:hAnsi="Times New Roman" w:cs="Times New Roman"/>
          <w:color w:val="auto"/>
          <w:szCs w:val="21"/>
          <w:highlight w:val="none"/>
        </w:rPr>
      </w:pPr>
    </w:p>
    <w:p>
      <w:pPr>
        <w:spacing w:line="360" w:lineRule="auto"/>
        <w:ind w:firstLine="645"/>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w:t>
      </w: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color w:val="auto"/>
          <w:szCs w:val="21"/>
          <w:highlight w:val="none"/>
        </w:rPr>
        <w:br w:type="page"/>
      </w:r>
      <w:r>
        <w:rPr>
          <w:rFonts w:hint="default" w:ascii="Times New Roman" w:hAnsi="Times New Roman" w:cs="Times New Roman"/>
          <w:b/>
          <w:color w:val="auto"/>
          <w:szCs w:val="21"/>
          <w:highlight w:val="none"/>
        </w:rPr>
        <w:t>格式一：</w:t>
      </w:r>
    </w:p>
    <w:p>
      <w:pPr>
        <w:pStyle w:val="17"/>
        <w:widowControl/>
        <w:spacing w:line="36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投标声明书</w:t>
      </w:r>
    </w:p>
    <w:p>
      <w:pPr>
        <w:pStyle w:val="17"/>
        <w:spacing w:line="360" w:lineRule="auto"/>
        <w:rPr>
          <w:rFonts w:hint="default" w:ascii="Times New Roman" w:hAnsi="Times New Roman" w:cs="Times New Roman"/>
          <w:color w:val="auto"/>
          <w:sz w:val="21"/>
          <w:szCs w:val="21"/>
          <w:highlight w:val="none"/>
          <w:u w:val="single"/>
        </w:rPr>
      </w:pPr>
    </w:p>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（采购单位名称）：</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根据贵方为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项目的采购公告/投标邀请书（项目编号：</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），签字代表</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（全名）经正式授权并代表供应商</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（供应商名称）提交投标文件。</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据此函，签字代表宣布同意如下：</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3.本投标自投标截止之日起</w:t>
      </w:r>
      <w:r>
        <w:rPr>
          <w:rFonts w:hint="default" w:ascii="Times New Roman" w:hAnsi="Times New Roman" w:cs="Times New Roman"/>
          <w:color w:val="auto"/>
          <w:szCs w:val="21"/>
          <w:highlight w:val="none"/>
          <w:u w:val="single"/>
        </w:rPr>
        <w:t>90</w:t>
      </w:r>
      <w:r>
        <w:rPr>
          <w:rFonts w:hint="default" w:ascii="Times New Roman" w:hAnsi="Times New Roman" w:cs="Times New Roman"/>
          <w:color w:val="auto"/>
          <w:szCs w:val="21"/>
          <w:highlight w:val="none"/>
        </w:rPr>
        <w:t>天内有效。</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4.如中标，本投标文件至本项目合同履行完毕止均保持有效，本供应商将按“采购文件”及法律、法规的规定履行合同责任和义务。</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5.供应商同意按照贵方要求提供与投标有关的一切数据或资料。</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6.与本投标有关的一切正式往来信函请寄：</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地址：</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邮编：</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电话：</w:t>
      </w:r>
      <w:r>
        <w:rPr>
          <w:rFonts w:hint="default" w:ascii="Times New Roman" w:hAnsi="Times New Roman" w:cs="Times New Roman"/>
          <w:color w:val="auto"/>
          <w:szCs w:val="21"/>
          <w:highlight w:val="none"/>
          <w:u w:val="single"/>
        </w:rPr>
        <w:t xml:space="preserve">         </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传真：</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供应商代表姓名：</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职务：</w:t>
      </w:r>
      <w:r>
        <w:rPr>
          <w:rFonts w:hint="default" w:ascii="Times New Roman" w:hAnsi="Times New Roman" w:cs="Times New Roman"/>
          <w:color w:val="auto"/>
          <w:szCs w:val="21"/>
          <w:highlight w:val="none"/>
          <w:u w:val="single"/>
        </w:rPr>
        <w:t xml:space="preserve">         </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供应商名称（公章）：</w:t>
      </w:r>
      <w:r>
        <w:rPr>
          <w:rFonts w:hint="default" w:ascii="Times New Roman" w:hAnsi="Times New Roman" w:cs="Times New Roman"/>
          <w:color w:val="auto"/>
          <w:szCs w:val="21"/>
          <w:highlight w:val="none"/>
          <w:u w:val="single"/>
        </w:rPr>
        <w:t xml:space="preserve">         </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开户银行：</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银行账号：</w:t>
      </w:r>
      <w:r>
        <w:rPr>
          <w:rFonts w:hint="default" w:ascii="Times New Roman" w:hAnsi="Times New Roman" w:cs="Times New Roman"/>
          <w:color w:val="auto"/>
          <w:szCs w:val="21"/>
          <w:highlight w:val="none"/>
          <w:u w:val="single"/>
        </w:rPr>
        <w:t xml:space="preserve">         </w:t>
      </w:r>
    </w:p>
    <w:p>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授权代表签字或盖章：</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日期：_____年___月___日</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br w:type="page"/>
      </w:r>
      <w:r>
        <w:rPr>
          <w:rFonts w:hint="default" w:ascii="Times New Roman" w:hAnsi="Times New Roman" w:cs="Times New Roman"/>
          <w:b/>
          <w:color w:val="auto"/>
          <w:szCs w:val="21"/>
          <w:highlight w:val="none"/>
        </w:rPr>
        <w:t>格式二：</w:t>
      </w:r>
    </w:p>
    <w:p>
      <w:pPr>
        <w:pStyle w:val="17"/>
        <w:tabs>
          <w:tab w:val="left" w:pos="4841"/>
        </w:tabs>
        <w:spacing w:line="360" w:lineRule="auto"/>
        <w:ind w:firstLine="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开标一览表</w:t>
      </w:r>
    </w:p>
    <w:p>
      <w:pPr>
        <w:pStyle w:val="17"/>
        <w:spacing w:line="360" w:lineRule="auto"/>
        <w:rPr>
          <w:rFonts w:hint="default" w:ascii="Times New Roman" w:hAnsi="Times New Roman" w:cs="Times New Roman"/>
          <w:color w:val="auto"/>
          <w:sz w:val="21"/>
          <w:szCs w:val="21"/>
          <w:highlight w:val="none"/>
        </w:rPr>
      </w:pPr>
    </w:p>
    <w:p>
      <w:pPr>
        <w:pStyle w:val="17"/>
        <w:spacing w:line="36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项目名称：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 xml:space="preserve"> </w:t>
      </w:r>
    </w:p>
    <w:tbl>
      <w:tblPr>
        <w:tblStyle w:val="38"/>
        <w:tblW w:w="0" w:type="auto"/>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24"/>
        <w:gridCol w:w="2282"/>
        <w:gridCol w:w="2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8" w:type="dxa"/>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2524" w:type="dxa"/>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服务名称</w:t>
            </w:r>
          </w:p>
        </w:tc>
        <w:tc>
          <w:tcPr>
            <w:tcW w:w="2282" w:type="dxa"/>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合同履行期限</w:t>
            </w:r>
          </w:p>
        </w:tc>
        <w:tc>
          <w:tcPr>
            <w:tcW w:w="2691" w:type="dxa"/>
            <w:noWrap w:val="0"/>
            <w:vAlign w:val="center"/>
          </w:tcPr>
          <w:p>
            <w:pPr>
              <w:spacing w:line="300" w:lineRule="exact"/>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投标报价</w:t>
            </w:r>
          </w:p>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b w:val="0"/>
                <w:bCs w:val="0"/>
                <w:color w:val="auto"/>
                <w:szCs w:val="21"/>
                <w:highlight w:val="none"/>
              </w:rPr>
              <w:t>（人民币元）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8" w:type="dxa"/>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524" w:type="dxa"/>
            <w:noWrap w:val="0"/>
            <w:vAlign w:val="center"/>
          </w:tcPr>
          <w:p>
            <w:pPr>
              <w:spacing w:line="300" w:lineRule="exact"/>
              <w:jc w:val="center"/>
              <w:rPr>
                <w:rFonts w:hint="default" w:ascii="Times New Roman" w:hAnsi="Times New Roman" w:cs="Times New Roman"/>
                <w:color w:val="auto"/>
                <w:szCs w:val="21"/>
                <w:highlight w:val="none"/>
              </w:rPr>
            </w:pPr>
          </w:p>
        </w:tc>
        <w:tc>
          <w:tcPr>
            <w:tcW w:w="2282" w:type="dxa"/>
            <w:noWrap w:val="0"/>
            <w:vAlign w:val="center"/>
          </w:tcPr>
          <w:p>
            <w:pPr>
              <w:spacing w:line="300" w:lineRule="exact"/>
              <w:jc w:val="center"/>
              <w:rPr>
                <w:rFonts w:hint="default" w:ascii="Times New Roman" w:hAnsi="Times New Roman" w:cs="Times New Roman"/>
                <w:color w:val="auto"/>
                <w:szCs w:val="21"/>
                <w:highlight w:val="none"/>
              </w:rPr>
            </w:pPr>
          </w:p>
        </w:tc>
        <w:tc>
          <w:tcPr>
            <w:tcW w:w="2691" w:type="dxa"/>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大写：</w:t>
            </w:r>
          </w:p>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小写：</w:t>
            </w:r>
          </w:p>
        </w:tc>
      </w:tr>
    </w:tbl>
    <w:p>
      <w:pPr>
        <w:pStyle w:val="17"/>
        <w:spacing w:line="360" w:lineRule="auto"/>
        <w:ind w:firstLine="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注：1.报价一经涂改，应在涂改处加盖单位公章或者由法定代表人或授权委托人签字或盖章，否则其投标作无效标处理。</w:t>
      </w:r>
    </w:p>
    <w:p>
      <w:pPr>
        <w:pStyle w:val="17"/>
        <w:spacing w:line="360" w:lineRule="auto"/>
        <w:ind w:firstLine="0"/>
        <w:rPr>
          <w:rFonts w:hint="default" w:ascii="Times New Roman" w:hAnsi="Times New Roman" w:cs="Times New Roman"/>
          <w:color w:val="auto"/>
          <w:sz w:val="21"/>
          <w:szCs w:val="21"/>
          <w:highlight w:val="none"/>
        </w:rPr>
      </w:pPr>
    </w:p>
    <w:p>
      <w:pPr>
        <w:pStyle w:val="17"/>
        <w:spacing w:line="360" w:lineRule="auto"/>
        <w:ind w:left="693" w:hanging="692" w:hangingChars="343"/>
        <w:rPr>
          <w:rFonts w:hint="default" w:ascii="Times New Roman" w:hAnsi="Times New Roman" w:cs="Times New Roman"/>
          <w:color w:val="auto"/>
          <w:sz w:val="21"/>
          <w:szCs w:val="21"/>
          <w:highlight w:val="none"/>
        </w:rPr>
      </w:pPr>
    </w:p>
    <w:p>
      <w:pPr>
        <w:pStyle w:val="17"/>
        <w:widowControl/>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投标人全称（盖公章）：</w:t>
      </w:r>
    </w:p>
    <w:p>
      <w:pPr>
        <w:pStyle w:val="17"/>
        <w:widowControl/>
        <w:spacing w:line="360" w:lineRule="auto"/>
        <w:jc w:val="left"/>
        <w:rPr>
          <w:rFonts w:hint="default" w:ascii="Times New Roman" w:hAnsi="Times New Roman" w:cs="Times New Roman"/>
          <w:color w:val="auto"/>
          <w:sz w:val="21"/>
          <w:szCs w:val="21"/>
          <w:highlight w:val="none"/>
        </w:rPr>
      </w:pPr>
    </w:p>
    <w:p>
      <w:pPr>
        <w:pStyle w:val="17"/>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日期：年 月 日</w:t>
      </w:r>
    </w:p>
    <w:p>
      <w:pPr>
        <w:pStyle w:val="17"/>
        <w:spacing w:line="360" w:lineRule="auto"/>
        <w:rPr>
          <w:rFonts w:hint="default" w:ascii="Times New Roman" w:hAnsi="Times New Roman" w:cs="Times New Roman"/>
          <w:color w:val="auto"/>
          <w:sz w:val="21"/>
          <w:szCs w:val="21"/>
          <w:highlight w:val="none"/>
        </w:rPr>
      </w:pPr>
    </w:p>
    <w:p>
      <w:pPr>
        <w:pStyle w:val="17"/>
        <w:spacing w:line="360" w:lineRule="auto"/>
        <w:ind w:firstLine="0"/>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br w:type="page"/>
      </w:r>
      <w:r>
        <w:rPr>
          <w:rFonts w:hint="default" w:ascii="Times New Roman" w:hAnsi="Times New Roman" w:cs="Times New Roman"/>
          <w:b/>
          <w:color w:val="auto"/>
          <w:spacing w:val="0"/>
          <w:sz w:val="21"/>
          <w:szCs w:val="21"/>
          <w:highlight w:val="none"/>
        </w:rPr>
        <w:t>格式</w:t>
      </w:r>
      <w:r>
        <w:rPr>
          <w:rFonts w:hint="default" w:ascii="Times New Roman" w:hAnsi="Times New Roman" w:cs="Times New Roman"/>
          <w:b/>
          <w:color w:val="auto"/>
          <w:spacing w:val="0"/>
          <w:sz w:val="21"/>
          <w:szCs w:val="21"/>
          <w:highlight w:val="none"/>
          <w:lang w:val="en-US" w:eastAsia="zh-CN"/>
        </w:rPr>
        <w:t>三</w:t>
      </w:r>
      <w:r>
        <w:rPr>
          <w:rFonts w:hint="default" w:ascii="Times New Roman" w:hAnsi="Times New Roman" w:cs="Times New Roman"/>
          <w:b/>
          <w:color w:val="auto"/>
          <w:spacing w:val="0"/>
          <w:sz w:val="21"/>
          <w:szCs w:val="21"/>
          <w:highlight w:val="none"/>
        </w:rPr>
        <w:t>：</w:t>
      </w:r>
    </w:p>
    <w:p>
      <w:pPr>
        <w:adjustRightInd w:val="0"/>
        <w:spacing w:line="36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资格条件自查表</w:t>
      </w:r>
    </w:p>
    <w:tbl>
      <w:tblPr>
        <w:tblStyle w:val="38"/>
        <w:tblW w:w="0" w:type="auto"/>
        <w:tblInd w:w="1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320"/>
        <w:gridCol w:w="1167"/>
        <w:gridCol w:w="20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blHeader/>
        </w:trPr>
        <w:tc>
          <w:tcPr>
            <w:tcW w:w="780" w:type="dxa"/>
            <w:noWrap w:val="0"/>
            <w:vAlign w:val="center"/>
          </w:tcPr>
          <w:p>
            <w:pPr>
              <w:widowControl/>
              <w:adjustRightInd w:val="0"/>
              <w:spacing w:line="400" w:lineRule="exact"/>
              <w:jc w:val="center"/>
              <w:rPr>
                <w:rFonts w:hint="default" w:ascii="Times New Roman" w:hAnsi="Times New Roman" w:cs="Times New Roman"/>
                <w:b/>
                <w:color w:val="auto"/>
                <w:sz w:val="24"/>
                <w:highlight w:val="none"/>
              </w:rPr>
            </w:pPr>
            <w:r>
              <w:rPr>
                <w:rStyle w:val="41"/>
                <w:rFonts w:hint="default" w:ascii="Times New Roman" w:hAnsi="Times New Roman" w:cs="Times New Roman"/>
                <w:color w:val="auto"/>
                <w:szCs w:val="21"/>
                <w:highlight w:val="none"/>
              </w:rPr>
              <w:t>评审内容</w:t>
            </w:r>
          </w:p>
        </w:tc>
        <w:tc>
          <w:tcPr>
            <w:tcW w:w="4320" w:type="dxa"/>
            <w:noWrap w:val="0"/>
            <w:vAlign w:val="center"/>
          </w:tcPr>
          <w:p>
            <w:pPr>
              <w:widowControl/>
              <w:adjustRightInd w:val="0"/>
              <w:spacing w:line="400" w:lineRule="exact"/>
              <w:jc w:val="center"/>
              <w:rPr>
                <w:rFonts w:hint="default" w:ascii="Times New Roman" w:hAnsi="Times New Roman" w:cs="Times New Roman"/>
                <w:b/>
                <w:color w:val="auto"/>
                <w:sz w:val="24"/>
                <w:highlight w:val="none"/>
              </w:rPr>
            </w:pPr>
            <w:r>
              <w:rPr>
                <w:rStyle w:val="41"/>
                <w:rFonts w:hint="default" w:ascii="Times New Roman" w:hAnsi="Times New Roman" w:cs="Times New Roman"/>
                <w:color w:val="auto"/>
                <w:szCs w:val="21"/>
                <w:highlight w:val="none"/>
              </w:rPr>
              <w:t>招标文件要求</w:t>
            </w:r>
          </w:p>
        </w:tc>
        <w:tc>
          <w:tcPr>
            <w:tcW w:w="1167" w:type="dxa"/>
            <w:noWrap w:val="0"/>
            <w:vAlign w:val="center"/>
          </w:tcPr>
          <w:p>
            <w:pPr>
              <w:widowControl/>
              <w:adjustRightInd w:val="0"/>
              <w:spacing w:line="400" w:lineRule="exact"/>
              <w:jc w:val="center"/>
              <w:rPr>
                <w:rFonts w:hint="default" w:ascii="Times New Roman" w:hAnsi="Times New Roman" w:cs="Times New Roman"/>
                <w:b/>
                <w:color w:val="auto"/>
                <w:sz w:val="24"/>
                <w:highlight w:val="none"/>
              </w:rPr>
            </w:pPr>
            <w:r>
              <w:rPr>
                <w:rStyle w:val="41"/>
                <w:rFonts w:hint="default" w:ascii="Times New Roman" w:hAnsi="Times New Roman" w:cs="Times New Roman"/>
                <w:color w:val="auto"/>
                <w:szCs w:val="21"/>
                <w:highlight w:val="none"/>
              </w:rPr>
              <w:t>自查结论</w:t>
            </w:r>
          </w:p>
        </w:tc>
        <w:tc>
          <w:tcPr>
            <w:tcW w:w="2028" w:type="dxa"/>
            <w:noWrap w:val="0"/>
            <w:vAlign w:val="center"/>
          </w:tcPr>
          <w:p>
            <w:pPr>
              <w:widowControl/>
              <w:adjustRightInd w:val="0"/>
              <w:spacing w:line="400" w:lineRule="exact"/>
              <w:jc w:val="center"/>
              <w:rPr>
                <w:rFonts w:hint="default" w:ascii="Times New Roman" w:hAnsi="Times New Roman" w:cs="Times New Roman"/>
                <w:b/>
                <w:color w:val="auto"/>
                <w:sz w:val="24"/>
                <w:highlight w:val="none"/>
              </w:rPr>
            </w:pPr>
            <w:r>
              <w:rPr>
                <w:rStyle w:val="41"/>
                <w:rFonts w:hint="default" w:ascii="Times New Roman" w:hAnsi="Times New Roman" w:cs="Times New Roman"/>
                <w:color w:val="auto"/>
                <w:szCs w:val="21"/>
                <w:highlight w:val="none"/>
              </w:rPr>
              <w:t>证明资料页码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restart"/>
            <w:noWrap w:val="0"/>
            <w:vAlign w:val="center"/>
          </w:tcPr>
          <w:p>
            <w:pPr>
              <w:pStyle w:val="124"/>
              <w:adjustRightInd w:val="0"/>
              <w:spacing w:before="0" w:beforeAutospacing="0" w:after="0" w:afterAutospacing="0" w:line="40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资</w:t>
            </w:r>
          </w:p>
          <w:p>
            <w:pPr>
              <w:pStyle w:val="124"/>
              <w:adjustRightInd w:val="0"/>
              <w:spacing w:before="0" w:beforeAutospacing="0" w:after="0" w:afterAutospacing="0" w:line="40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格</w:t>
            </w:r>
          </w:p>
          <w:p>
            <w:pPr>
              <w:pStyle w:val="124"/>
              <w:adjustRightInd w:val="0"/>
              <w:spacing w:before="0" w:beforeAutospacing="0" w:after="0" w:afterAutospacing="0" w:line="40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性</w:t>
            </w:r>
          </w:p>
          <w:p>
            <w:pPr>
              <w:pStyle w:val="124"/>
              <w:adjustRightInd w:val="0"/>
              <w:spacing w:before="0" w:beforeAutospacing="0" w:after="0" w:afterAutospacing="0" w:line="40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审</w:t>
            </w:r>
          </w:p>
          <w:p>
            <w:pPr>
              <w:widowControl/>
              <w:adjustRightInd w:val="0"/>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Cs w:val="21"/>
                <w:highlight w:val="none"/>
              </w:rPr>
              <w:t>查</w:t>
            </w:r>
          </w:p>
        </w:tc>
        <w:tc>
          <w:tcPr>
            <w:tcW w:w="4320" w:type="dxa"/>
            <w:noWrap w:val="0"/>
            <w:vAlign w:val="center"/>
          </w:tcPr>
          <w:p>
            <w:pPr>
              <w:widowControl/>
              <w:adjustRightInd w:val="0"/>
              <w:spacing w:line="400" w:lineRule="exact"/>
              <w:rPr>
                <w:rFonts w:hint="default" w:ascii="Times New Roman" w:hAnsi="Times New Roman" w:cs="Times New Roman"/>
                <w:b/>
                <w:color w:val="auto"/>
                <w:sz w:val="24"/>
                <w:highlight w:val="none"/>
              </w:rPr>
            </w:pPr>
            <w:r>
              <w:rPr>
                <w:rFonts w:hint="default" w:ascii="Times New Roman" w:hAnsi="Times New Roman" w:cs="Times New Roman"/>
                <w:color w:val="auto"/>
                <w:szCs w:val="21"/>
                <w:highlight w:val="none"/>
              </w:rPr>
              <w:t>一、投标人具备《</w:t>
            </w:r>
            <w:r>
              <w:rPr>
                <w:rFonts w:hint="default" w:ascii="Times New Roman" w:hAnsi="Times New Roman" w:cs="Times New Roman"/>
                <w:color w:val="auto"/>
                <w:highlight w:val="none"/>
              </w:rPr>
              <w:t>中华人民共和国政府采购法</w:t>
            </w:r>
            <w:r>
              <w:rPr>
                <w:rFonts w:hint="default" w:ascii="Times New Roman" w:hAnsi="Times New Roman" w:cs="Times New Roman"/>
                <w:color w:val="auto"/>
                <w:szCs w:val="21"/>
                <w:highlight w:val="none"/>
              </w:rPr>
              <w:t>》第二十二条所规定的条件</w:t>
            </w:r>
            <w:r>
              <w:rPr>
                <w:rFonts w:hint="default" w:ascii="Times New Roman" w:hAnsi="Times New Roman" w:cs="Times New Roman"/>
                <w:color w:val="auto"/>
                <w:kern w:val="0"/>
                <w:szCs w:val="21"/>
                <w:highlight w:val="none"/>
                <w:lang w:bidi="ar"/>
              </w:rPr>
              <w:t>（提供《</w:t>
            </w:r>
            <w:r>
              <w:rPr>
                <w:rFonts w:hint="default" w:ascii="Times New Roman" w:hAnsi="Times New Roman" w:cs="Times New Roman"/>
                <w:color w:val="auto"/>
                <w:highlight w:val="none"/>
              </w:rPr>
              <w:t>书面声明</w:t>
            </w:r>
            <w:r>
              <w:rPr>
                <w:rFonts w:hint="default" w:ascii="Times New Roman" w:hAnsi="Times New Roman" w:cs="Times New Roman"/>
                <w:color w:val="auto"/>
                <w:kern w:val="0"/>
                <w:szCs w:val="21"/>
                <w:highlight w:val="none"/>
                <w:lang w:bidi="ar"/>
              </w:rPr>
              <w:t>》）</w:t>
            </w:r>
            <w:r>
              <w:rPr>
                <w:rFonts w:hint="default" w:ascii="Times New Roman" w:hAnsi="Times New Roman" w:cs="Times New Roman"/>
                <w:color w:val="auto"/>
                <w:szCs w:val="21"/>
                <w:highlight w:val="none"/>
              </w:rPr>
              <w:t>：</w:t>
            </w:r>
          </w:p>
        </w:tc>
        <w:tc>
          <w:tcPr>
            <w:tcW w:w="1167" w:type="dxa"/>
            <w:noWrap w:val="0"/>
            <w:vAlign w:val="center"/>
          </w:tcPr>
          <w:p>
            <w:pPr>
              <w:widowControl/>
              <w:adjustRightIn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widowControl/>
              <w:adjustRightInd w:val="0"/>
              <w:spacing w:line="400" w:lineRule="exact"/>
              <w:rPr>
                <w:rFonts w:hint="default" w:ascii="Times New Roman" w:hAnsi="Times New Roman" w:cs="Times New Roman"/>
                <w:b/>
                <w:color w:val="auto"/>
                <w:sz w:val="24"/>
                <w:highlight w:val="none"/>
              </w:rPr>
            </w:pPr>
            <w:r>
              <w:rPr>
                <w:rFonts w:hint="default" w:ascii="Times New Roman" w:hAnsi="Times New Roman" w:cs="Times New Roman"/>
                <w:color w:val="auto"/>
                <w:szCs w:val="21"/>
                <w:highlight w:val="none"/>
              </w:rPr>
              <w:t>□不通过</w:t>
            </w:r>
          </w:p>
        </w:tc>
        <w:tc>
          <w:tcPr>
            <w:tcW w:w="2028" w:type="dxa"/>
            <w:noWrap w:val="0"/>
            <w:vAlign w:val="center"/>
          </w:tcPr>
          <w:p>
            <w:pPr>
              <w:widowControl/>
              <w:adjustRightInd w:val="0"/>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top"/>
          </w:tcPr>
          <w:p>
            <w:pPr>
              <w:widowControl/>
              <w:adjustRightInd w:val="0"/>
              <w:spacing w:line="400" w:lineRule="exact"/>
              <w:rPr>
                <w:rFonts w:hint="default" w:ascii="Times New Roman" w:hAnsi="Times New Roman" w:cs="Times New Roman"/>
                <w:bCs/>
                <w:color w:val="auto"/>
                <w:szCs w:val="28"/>
                <w:highlight w:val="none"/>
              </w:rPr>
            </w:pPr>
          </w:p>
        </w:tc>
        <w:tc>
          <w:tcPr>
            <w:tcW w:w="4320" w:type="dxa"/>
            <w:noWrap w:val="0"/>
            <w:vAlign w:val="center"/>
          </w:tcPr>
          <w:p>
            <w:pPr>
              <w:widowControl/>
              <w:adjustRightInd w:val="0"/>
              <w:spacing w:line="400" w:lineRule="exact"/>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二</w:t>
            </w:r>
            <w:r>
              <w:rPr>
                <w:rFonts w:hint="default" w:ascii="Times New Roman" w:hAnsi="Times New Roman" w:cs="Times New Roman"/>
                <w:bCs/>
                <w:color w:val="auto"/>
                <w:szCs w:val="28"/>
                <w:highlight w:val="none"/>
                <w:lang w:eastAsia="zh-CN"/>
              </w:rPr>
              <w:t>、</w:t>
            </w:r>
            <w:r>
              <w:rPr>
                <w:rFonts w:hint="default" w:ascii="Times New Roman" w:hAnsi="Times New Roman" w:cs="Times New Roman"/>
                <w:color w:val="auto"/>
                <w:highlight w:val="none"/>
              </w:rPr>
              <w:t>投标人未被列入信用中国网站</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www.creditchina.gov.cn</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“记录失信被执行人或重大税收违法案件当事人名单或政府采购严重违法失信行为”记录名单；不处于中国政府采购网</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www.ccgp.gov.cn</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noWrap w:val="0"/>
            <w:vAlign w:val="center"/>
          </w:tcPr>
          <w:p>
            <w:pPr>
              <w:widowControl/>
              <w:adjustRightIn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widowControl/>
              <w:adjustRightInd w:val="0"/>
              <w:spacing w:line="400" w:lineRule="exact"/>
              <w:rPr>
                <w:rFonts w:hint="default" w:ascii="Times New Roman" w:hAnsi="Times New Roman" w:cs="Times New Roman"/>
                <w:bCs/>
                <w:color w:val="auto"/>
                <w:szCs w:val="28"/>
                <w:highlight w:val="none"/>
              </w:rPr>
            </w:pPr>
            <w:r>
              <w:rPr>
                <w:rFonts w:hint="default" w:ascii="Times New Roman" w:hAnsi="Times New Roman" w:cs="Times New Roman"/>
                <w:color w:val="auto"/>
                <w:szCs w:val="21"/>
                <w:highlight w:val="none"/>
              </w:rPr>
              <w:t>□不通过</w:t>
            </w:r>
          </w:p>
        </w:tc>
        <w:tc>
          <w:tcPr>
            <w:tcW w:w="2028" w:type="dxa"/>
            <w:noWrap w:val="0"/>
            <w:vAlign w:val="center"/>
          </w:tcPr>
          <w:p>
            <w:pPr>
              <w:widowControl/>
              <w:adjustRightInd w:val="0"/>
              <w:spacing w:line="400" w:lineRule="exact"/>
              <w:jc w:val="center"/>
              <w:rPr>
                <w:rFonts w:hint="default" w:ascii="Times New Roman" w:hAnsi="Times New Roman" w:cs="Times New Roman"/>
                <w:bCs/>
                <w:color w:val="auto"/>
                <w:szCs w:val="28"/>
                <w:highlight w:val="none"/>
                <w:u w:val="single"/>
              </w:rPr>
            </w:pPr>
            <w:r>
              <w:rPr>
                <w:rFonts w:hint="default" w:ascii="Times New Roman" w:hAnsi="Times New Roman" w:cs="Times New Roman"/>
                <w:bCs/>
                <w:color w:val="auto"/>
                <w:szCs w:val="28"/>
                <w:highlight w:val="none"/>
              </w:rPr>
              <w:t xml:space="preserve">信用记录 </w:t>
            </w:r>
            <w:r>
              <w:rPr>
                <w:rFonts w:hint="default" w:ascii="Times New Roman" w:hAnsi="Times New Roman" w:cs="Times New Roman"/>
                <w:bCs/>
                <w:color w:val="auto"/>
                <w:szCs w:val="28"/>
                <w:highlight w:val="none"/>
                <w:u w:val="single"/>
              </w:rPr>
              <w:t>是/否</w:t>
            </w:r>
            <w:r>
              <w:rPr>
                <w:rFonts w:hint="default" w:ascii="Times New Roman" w:hAnsi="Times New Roman" w:cs="Times New Roman"/>
                <w:bCs/>
                <w:color w:val="auto"/>
                <w:szCs w:val="28"/>
                <w:highlight w:val="none"/>
              </w:rPr>
              <w:t xml:space="preserve"> 已失效，如失效，证明材料详见</w:t>
            </w:r>
            <w:r>
              <w:rPr>
                <w:rFonts w:hint="default" w:ascii="Times New Roman" w:hAnsi="Times New Roman" w:cs="Times New Roman"/>
                <w:color w:val="auto"/>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top"/>
          </w:tcPr>
          <w:p>
            <w:pPr>
              <w:widowControl/>
              <w:adjustRightInd w:val="0"/>
              <w:spacing w:line="400" w:lineRule="exact"/>
              <w:rPr>
                <w:rFonts w:hint="default" w:ascii="Times New Roman" w:hAnsi="Times New Roman" w:cs="Times New Roman"/>
                <w:bCs/>
                <w:color w:val="auto"/>
                <w:szCs w:val="28"/>
                <w:highlight w:val="none"/>
              </w:rPr>
            </w:pPr>
          </w:p>
        </w:tc>
        <w:tc>
          <w:tcPr>
            <w:tcW w:w="4320" w:type="dxa"/>
            <w:noWrap w:val="0"/>
            <w:vAlign w:val="center"/>
          </w:tcPr>
          <w:p>
            <w:pPr>
              <w:widowControl/>
              <w:adjustRightInd w:val="0"/>
              <w:spacing w:line="400" w:lineRule="exact"/>
              <w:outlineLvl w:val="9"/>
              <w:rPr>
                <w:rFonts w:hint="default" w:ascii="Times New Roman" w:hAnsi="Times New Roman" w:cs="Times New Roman"/>
                <w:bCs/>
                <w:color w:val="auto"/>
                <w:szCs w:val="28"/>
                <w:highlight w:val="none"/>
                <w:lang w:val="en-US" w:eastAsia="zh-CN"/>
              </w:rPr>
            </w:pPr>
            <w:r>
              <w:rPr>
                <w:bCs/>
                <w:color w:val="auto"/>
                <w:szCs w:val="28"/>
                <w:highlight w:val="none"/>
              </w:rPr>
              <w:t>三、</w:t>
            </w:r>
            <w:r>
              <w:rPr>
                <w:color w:val="auto"/>
                <w:szCs w:val="21"/>
                <w:highlight w:val="none"/>
              </w:rPr>
              <w:t>本项目专门面向中小企业采购（残疾人福利性单位和监狱企业视同小微企业）。</w:t>
            </w:r>
          </w:p>
        </w:tc>
        <w:tc>
          <w:tcPr>
            <w:tcW w:w="1167" w:type="dxa"/>
            <w:noWrap w:val="0"/>
            <w:vAlign w:val="center"/>
          </w:tcPr>
          <w:p>
            <w:pPr>
              <w:widowControl/>
              <w:adjustRightInd w:val="0"/>
              <w:spacing w:line="400" w:lineRule="exact"/>
              <w:rPr>
                <w:color w:val="auto"/>
                <w:szCs w:val="21"/>
                <w:highlight w:val="none"/>
              </w:rPr>
            </w:pPr>
            <w:r>
              <w:rPr>
                <w:color w:val="auto"/>
                <w:szCs w:val="21"/>
                <w:highlight w:val="none"/>
              </w:rPr>
              <w:t xml:space="preserve">□通过 </w:t>
            </w:r>
          </w:p>
          <w:p>
            <w:pPr>
              <w:widowControl/>
              <w:adjustRightInd w:val="0"/>
              <w:spacing w:line="400" w:lineRule="exact"/>
              <w:rPr>
                <w:rFonts w:hint="default" w:ascii="Times New Roman" w:hAnsi="Times New Roman" w:cs="Times New Roman"/>
                <w:color w:val="auto"/>
                <w:szCs w:val="21"/>
                <w:highlight w:val="none"/>
              </w:rPr>
            </w:pPr>
            <w:r>
              <w:rPr>
                <w:color w:val="auto"/>
                <w:szCs w:val="21"/>
                <w:highlight w:val="none"/>
              </w:rPr>
              <w:t>□不通过</w:t>
            </w:r>
          </w:p>
        </w:tc>
        <w:tc>
          <w:tcPr>
            <w:tcW w:w="2028" w:type="dxa"/>
            <w:noWrap w:val="0"/>
            <w:vAlign w:val="center"/>
          </w:tcPr>
          <w:p>
            <w:pPr>
              <w:widowControl/>
              <w:adjustRightInd w:val="0"/>
              <w:spacing w:line="400" w:lineRule="exact"/>
              <w:jc w:val="center"/>
              <w:rPr>
                <w:rFonts w:hint="default" w:ascii="Times New Roman" w:hAnsi="Times New Roman" w:cs="Times New Roman"/>
                <w:color w:val="auto"/>
                <w:szCs w:val="21"/>
                <w:highlight w:val="none"/>
              </w:rPr>
            </w:pPr>
            <w:r>
              <w:rPr>
                <w:bCs/>
                <w:color w:val="auto"/>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top"/>
          </w:tcPr>
          <w:p>
            <w:pPr>
              <w:widowControl/>
              <w:adjustRightInd w:val="0"/>
              <w:spacing w:line="400" w:lineRule="exact"/>
              <w:rPr>
                <w:rFonts w:hint="default" w:ascii="Times New Roman" w:hAnsi="Times New Roman" w:cs="Times New Roman"/>
                <w:bCs/>
                <w:color w:val="auto"/>
                <w:szCs w:val="28"/>
                <w:highlight w:val="none"/>
              </w:rPr>
            </w:pPr>
          </w:p>
        </w:tc>
        <w:tc>
          <w:tcPr>
            <w:tcW w:w="4320" w:type="dxa"/>
            <w:noWrap w:val="0"/>
            <w:vAlign w:val="center"/>
          </w:tcPr>
          <w:p>
            <w:pPr>
              <w:widowControl/>
              <w:adjustRightInd w:val="0"/>
              <w:spacing w:line="400" w:lineRule="exact"/>
              <w:rPr>
                <w:rFonts w:hint="default" w:ascii="Times New Roman" w:hAnsi="Times New Roman" w:cs="Times New Roman"/>
                <w:bCs/>
                <w:color w:val="auto"/>
                <w:szCs w:val="28"/>
                <w:highlight w:val="none"/>
              </w:rPr>
            </w:pPr>
            <w:r>
              <w:rPr>
                <w:rFonts w:hint="eastAsia" w:cs="Times New Roman"/>
                <w:bCs/>
                <w:color w:val="auto"/>
                <w:szCs w:val="28"/>
                <w:highlight w:val="none"/>
                <w:lang w:val="en-US" w:eastAsia="zh-CN"/>
              </w:rPr>
              <w:t>四</w:t>
            </w:r>
            <w:r>
              <w:rPr>
                <w:rFonts w:hint="default" w:ascii="Times New Roman" w:hAnsi="Times New Roman" w:cs="Times New Roman"/>
                <w:bCs/>
                <w:color w:val="auto"/>
                <w:szCs w:val="28"/>
                <w:highlight w:val="none"/>
                <w:lang w:val="en-US" w:eastAsia="zh-CN"/>
              </w:rPr>
              <w:t>、</w:t>
            </w:r>
            <w:r>
              <w:rPr>
                <w:rFonts w:hint="default" w:ascii="Times New Roman" w:hAnsi="Times New Roman" w:cs="Times New Roman"/>
                <w:color w:val="auto"/>
                <w:szCs w:val="21"/>
                <w:highlight w:val="none"/>
              </w:rPr>
              <w:t>本项目不接受联合体投标。</w:t>
            </w:r>
          </w:p>
        </w:tc>
        <w:tc>
          <w:tcPr>
            <w:tcW w:w="1167" w:type="dxa"/>
            <w:noWrap w:val="0"/>
            <w:vAlign w:val="center"/>
          </w:tcPr>
          <w:p>
            <w:pPr>
              <w:widowControl/>
              <w:adjustRightIn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widowControl/>
              <w:adjustRightInd w:val="0"/>
              <w:spacing w:line="400" w:lineRule="exact"/>
              <w:rPr>
                <w:rFonts w:hint="default" w:ascii="Times New Roman" w:hAnsi="Times New Roman" w:cs="Times New Roman"/>
                <w:bCs/>
                <w:color w:val="auto"/>
                <w:szCs w:val="28"/>
                <w:highlight w:val="none"/>
              </w:rPr>
            </w:pPr>
            <w:r>
              <w:rPr>
                <w:rFonts w:hint="default" w:ascii="Times New Roman" w:hAnsi="Times New Roman" w:cs="Times New Roman"/>
                <w:color w:val="auto"/>
                <w:szCs w:val="21"/>
                <w:highlight w:val="none"/>
              </w:rPr>
              <w:t>□不通过</w:t>
            </w:r>
          </w:p>
        </w:tc>
        <w:tc>
          <w:tcPr>
            <w:tcW w:w="2028" w:type="dxa"/>
            <w:noWrap w:val="0"/>
            <w:vAlign w:val="center"/>
          </w:tcPr>
          <w:p>
            <w:pPr>
              <w:widowControl/>
              <w:adjustRightInd w:val="0"/>
              <w:spacing w:line="400" w:lineRule="exact"/>
              <w:jc w:val="center"/>
              <w:rPr>
                <w:rFonts w:hint="default" w:ascii="Times New Roman" w:hAnsi="Times New Roman" w:cs="Times New Roman"/>
                <w:bCs/>
                <w:color w:val="auto"/>
                <w:szCs w:val="28"/>
                <w:highlight w:val="none"/>
              </w:rPr>
            </w:pPr>
            <w:r>
              <w:rPr>
                <w:rFonts w:hint="default" w:ascii="Times New Roman" w:hAnsi="Times New Roman" w:cs="Times New Roman"/>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top"/>
          </w:tcPr>
          <w:p>
            <w:pPr>
              <w:widowControl/>
              <w:adjustRightInd w:val="0"/>
              <w:spacing w:line="400" w:lineRule="exact"/>
              <w:rPr>
                <w:rFonts w:hint="default" w:ascii="Times New Roman" w:hAnsi="Times New Roman" w:cs="Times New Roman"/>
                <w:bCs/>
                <w:color w:val="auto"/>
                <w:szCs w:val="28"/>
                <w:highlight w:val="none"/>
              </w:rPr>
            </w:pPr>
          </w:p>
        </w:tc>
        <w:tc>
          <w:tcPr>
            <w:tcW w:w="4320" w:type="dxa"/>
            <w:noWrap w:val="0"/>
            <w:vAlign w:val="center"/>
          </w:tcPr>
          <w:p>
            <w:pPr>
              <w:widowControl/>
              <w:adjustRightInd w:val="0"/>
              <w:spacing w:line="400" w:lineRule="exact"/>
              <w:rPr>
                <w:rFonts w:hint="default" w:ascii="Times New Roman" w:hAnsi="Times New Roman" w:cs="Times New Roman"/>
                <w:bCs/>
                <w:color w:val="auto"/>
                <w:szCs w:val="28"/>
                <w:highlight w:val="none"/>
                <w:lang w:val="en-US" w:eastAsia="zh-CN"/>
              </w:rPr>
            </w:pPr>
            <w:r>
              <w:rPr>
                <w:rFonts w:hint="eastAsia" w:cs="Times New Roman"/>
                <w:bCs/>
                <w:color w:val="auto"/>
                <w:szCs w:val="28"/>
                <w:highlight w:val="none"/>
                <w:lang w:val="en-US" w:eastAsia="zh-CN"/>
              </w:rPr>
              <w:t>五</w:t>
            </w:r>
            <w:r>
              <w:rPr>
                <w:rFonts w:hint="default" w:ascii="Times New Roman" w:hAnsi="Times New Roman" w:eastAsia="宋体" w:cs="Times New Roman"/>
                <w:bCs/>
                <w:color w:val="auto"/>
                <w:szCs w:val="28"/>
                <w:highlight w:val="none"/>
                <w:lang w:val="en-US" w:eastAsia="zh-CN"/>
              </w:rPr>
              <w:t>、其他（特定资格要求（如有，提供证明材料））。</w:t>
            </w:r>
          </w:p>
        </w:tc>
        <w:tc>
          <w:tcPr>
            <w:tcW w:w="1167" w:type="dxa"/>
            <w:noWrap w:val="0"/>
            <w:vAlign w:val="center"/>
          </w:tcPr>
          <w:p>
            <w:pPr>
              <w:widowControl/>
              <w:adjustRightIn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widowControl/>
              <w:adjustRightIn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w:t>
            </w:r>
          </w:p>
        </w:tc>
        <w:tc>
          <w:tcPr>
            <w:tcW w:w="2028" w:type="dxa"/>
            <w:noWrap w:val="0"/>
            <w:vAlign w:val="center"/>
          </w:tcPr>
          <w:p>
            <w:pPr>
              <w:widowControl/>
              <w:adjustRightInd w:val="0"/>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spacing w:line="360" w:lineRule="auto"/>
        <w:rPr>
          <w:rFonts w:hint="default" w:ascii="Times New Roman" w:hAnsi="Times New Roman" w:cs="Times New Roman"/>
          <w:b/>
          <w:color w:val="auto"/>
          <w:spacing w:val="-4"/>
          <w:szCs w:val="21"/>
          <w:highlight w:val="none"/>
        </w:rPr>
      </w:pPr>
      <w:r>
        <w:rPr>
          <w:rFonts w:hint="default" w:ascii="Times New Roman" w:hAnsi="Times New Roman" w:cs="Times New Roman"/>
          <w:b/>
          <w:color w:val="auto"/>
          <w:szCs w:val="21"/>
          <w:highlight w:val="none"/>
        </w:rPr>
        <w:br w:type="page"/>
      </w:r>
      <w:r>
        <w:rPr>
          <w:rFonts w:hint="default" w:ascii="Times New Roman" w:hAnsi="Times New Roman" w:cs="Times New Roman"/>
          <w:b/>
          <w:color w:val="auto"/>
          <w:szCs w:val="21"/>
          <w:highlight w:val="none"/>
        </w:rPr>
        <w:t>格式</w:t>
      </w:r>
      <w:r>
        <w:rPr>
          <w:rFonts w:hint="default" w:ascii="Times New Roman" w:hAnsi="Times New Roman" w:cs="Times New Roman"/>
          <w:b/>
          <w:color w:val="auto"/>
          <w:szCs w:val="21"/>
          <w:highlight w:val="none"/>
          <w:lang w:val="en-US" w:eastAsia="zh-CN"/>
        </w:rPr>
        <w:t>四</w:t>
      </w:r>
      <w:r>
        <w:rPr>
          <w:rFonts w:hint="default" w:ascii="Times New Roman" w:hAnsi="Times New Roman" w:cs="Times New Roman"/>
          <w:b/>
          <w:color w:val="auto"/>
          <w:szCs w:val="21"/>
          <w:highlight w:val="none"/>
        </w:rPr>
        <w:t>：</w:t>
      </w:r>
    </w:p>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 w:val="24"/>
          <w:highlight w:val="none"/>
        </w:rPr>
        <w:t>书面声明</w:t>
      </w: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致：</w:t>
      </w:r>
      <w:r>
        <w:rPr>
          <w:rFonts w:hint="default" w:ascii="Times New Roman" w:hAnsi="Times New Roman" w:cs="Times New Roman"/>
          <w:b/>
          <w:color w:val="auto"/>
          <w:szCs w:val="21"/>
          <w:highlight w:val="none"/>
          <w:lang w:eastAsia="zh-CN"/>
        </w:rPr>
        <w:t>科信联合工程咨询有限公司</w:t>
      </w:r>
    </w:p>
    <w:p>
      <w:pPr>
        <w:adjustRightInd w:val="0"/>
        <w:spacing w:line="360" w:lineRule="auto"/>
        <w:ind w:firstLine="422" w:firstLineChars="200"/>
        <w:textAlignment w:val="baseline"/>
        <w:rPr>
          <w:rFonts w:hint="default" w:ascii="Times New Roman" w:hAnsi="Times New Roman" w:cs="Times New Roman"/>
          <w:b/>
          <w:color w:val="auto"/>
          <w:szCs w:val="21"/>
          <w:highlight w:val="none"/>
        </w:rPr>
      </w:pPr>
      <w:bookmarkStart w:id="64" w:name="_Toc399148312"/>
      <w:r>
        <w:rPr>
          <w:rFonts w:hint="default" w:ascii="Times New Roman" w:hAnsi="Times New Roman" w:cs="Times New Roman"/>
          <w:b/>
          <w:color w:val="auto"/>
          <w:szCs w:val="21"/>
          <w:highlight w:val="none"/>
        </w:rPr>
        <w:t>我方郑重</w:t>
      </w:r>
      <w:bookmarkEnd w:id="64"/>
      <w:r>
        <w:rPr>
          <w:rFonts w:hint="default" w:ascii="Times New Roman" w:hAnsi="Times New Roman" w:cs="Times New Roman"/>
          <w:b/>
          <w:color w:val="auto"/>
          <w:szCs w:val="21"/>
          <w:highlight w:val="none"/>
        </w:rPr>
        <w:t>声明：</w:t>
      </w:r>
    </w:p>
    <w:p>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1、具有独立承担民事责任的能力。</w:t>
      </w:r>
    </w:p>
    <w:p>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2、具有良好的商业信誉和健全的财务会计制度。</w:t>
      </w:r>
    </w:p>
    <w:p>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3、具有履行合同所必需的设备和专业技术能力。</w:t>
      </w:r>
    </w:p>
    <w:p>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4、有依法缴纳税收和社会保障资金的良好记录。</w:t>
      </w:r>
    </w:p>
    <w:p>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5、参加政府采购活动前三年内，在经营活动中没有重大违法记录。</w:t>
      </w:r>
    </w:p>
    <w:p>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6、我单位符合以下条件：</w:t>
      </w:r>
    </w:p>
    <w:p>
      <w:pPr>
        <w:adjustRightInd w:val="0"/>
        <w:spacing w:line="360" w:lineRule="auto"/>
        <w:ind w:firstLine="420" w:firstLineChars="200"/>
        <w:textAlignment w:val="baseline"/>
        <w:rPr>
          <w:rFonts w:hint="default" w:ascii="Times New Roman" w:hAnsi="Times New Roman" w:cs="Times New Roman"/>
          <w:bCs/>
          <w:color w:val="auto"/>
          <w:szCs w:val="21"/>
          <w:highlight w:val="none"/>
        </w:rPr>
      </w:pPr>
      <w:r>
        <w:rPr>
          <w:rFonts w:hint="default" w:ascii="Times New Roman" w:hAnsi="Times New Roman" w:cs="Times New Roman"/>
          <w:color w:val="auto"/>
          <w:highlight w:val="none"/>
        </w:rPr>
        <w:t>我单位与其他投标人不存在单位负责人为同一人或者</w:t>
      </w:r>
      <w:r>
        <w:rPr>
          <w:rFonts w:hint="default" w:ascii="Times New Roman" w:hAnsi="Times New Roman" w:cs="Times New Roman"/>
          <w:bCs/>
          <w:color w:val="auto"/>
          <w:szCs w:val="21"/>
          <w:highlight w:val="none"/>
        </w:rPr>
        <w:t>存在直接控股、管理关系；我单位不是本项目提供整体设计、规范编制或者项目管理、监理、检测等服务的单位。</w:t>
      </w:r>
    </w:p>
    <w:p>
      <w:pPr>
        <w:spacing w:line="360" w:lineRule="auto"/>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color w:val="auto"/>
          <w:szCs w:val="21"/>
          <w:highlight w:val="none"/>
        </w:rPr>
        <w:t>特此声明。</w:t>
      </w:r>
    </w:p>
    <w:p>
      <w:pPr>
        <w:spacing w:line="360" w:lineRule="auto"/>
        <w:rPr>
          <w:rFonts w:hint="default" w:ascii="Times New Roman" w:hAnsi="Times New Roman" w:cs="Times New Roman"/>
          <w:b/>
          <w:bCs/>
          <w:color w:val="auto"/>
          <w:szCs w:val="21"/>
          <w:highlight w:val="none"/>
        </w:rPr>
      </w:pP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pStyle w:val="17"/>
        <w:widowControl/>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投标人全称（盖公章）：</w:t>
      </w:r>
    </w:p>
    <w:p>
      <w:pPr>
        <w:pStyle w:val="17"/>
        <w:widowControl/>
        <w:spacing w:line="360" w:lineRule="auto"/>
        <w:jc w:val="left"/>
        <w:rPr>
          <w:rFonts w:hint="default" w:ascii="Times New Roman" w:hAnsi="Times New Roman" w:cs="Times New Roman"/>
          <w:color w:val="auto"/>
          <w:sz w:val="21"/>
          <w:szCs w:val="21"/>
          <w:highlight w:val="none"/>
        </w:rPr>
      </w:pPr>
    </w:p>
    <w:p>
      <w:pPr>
        <w:pStyle w:val="17"/>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日期：年  月  日</w:t>
      </w:r>
    </w:p>
    <w:p>
      <w:pPr>
        <w:spacing w:line="360" w:lineRule="auto"/>
        <w:rPr>
          <w:rFonts w:hint="default" w:ascii="Times New Roman" w:hAnsi="Times New Roman" w:cs="Times New Roman"/>
          <w:b/>
          <w:color w:val="auto"/>
          <w:spacing w:val="-4"/>
          <w:sz w:val="24"/>
          <w:highlight w:val="none"/>
        </w:rPr>
      </w:pPr>
      <w:r>
        <w:rPr>
          <w:rFonts w:hint="default" w:ascii="Times New Roman" w:hAnsi="Times New Roman" w:cs="Times New Roman"/>
          <w:b/>
          <w:color w:val="auto"/>
          <w:szCs w:val="21"/>
          <w:highlight w:val="none"/>
        </w:rPr>
        <w:br w:type="page"/>
      </w:r>
      <w:r>
        <w:rPr>
          <w:rFonts w:hint="default" w:ascii="Times New Roman" w:hAnsi="Times New Roman" w:cs="Times New Roman"/>
          <w:b/>
          <w:color w:val="auto"/>
          <w:szCs w:val="21"/>
          <w:highlight w:val="none"/>
        </w:rPr>
        <w:t>格式</w:t>
      </w:r>
      <w:r>
        <w:rPr>
          <w:rFonts w:hint="default" w:ascii="Times New Roman" w:hAnsi="Times New Roman" w:cs="Times New Roman"/>
          <w:b/>
          <w:color w:val="auto"/>
          <w:szCs w:val="21"/>
          <w:highlight w:val="none"/>
          <w:lang w:val="en-US" w:eastAsia="zh-CN"/>
        </w:rPr>
        <w:t>五</w:t>
      </w:r>
      <w:r>
        <w:rPr>
          <w:rFonts w:hint="default" w:ascii="Times New Roman" w:hAnsi="Times New Roman" w:cs="Times New Roman"/>
          <w:b/>
          <w:color w:val="auto"/>
          <w:szCs w:val="21"/>
          <w:highlight w:val="none"/>
        </w:rPr>
        <w:t>：</w:t>
      </w:r>
    </w:p>
    <w:p>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b/>
          <w:color w:val="auto"/>
          <w:spacing w:val="-4"/>
          <w:sz w:val="24"/>
          <w:highlight w:val="none"/>
        </w:rPr>
        <w:t>符合性自查表</w:t>
      </w:r>
    </w:p>
    <w:tbl>
      <w:tblPr>
        <w:tblStyle w:val="38"/>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725"/>
        <w:gridCol w:w="1418"/>
        <w:gridCol w:w="195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评审内容</w:t>
            </w:r>
          </w:p>
        </w:tc>
        <w:tc>
          <w:tcPr>
            <w:tcW w:w="4725" w:type="dxa"/>
            <w:tcBorders>
              <w:top w:val="single" w:color="auto" w:sz="12" w:space="0"/>
              <w:left w:val="outset" w:color="111111" w:sz="6" w:space="0"/>
              <w:bottom w:val="outset" w:color="111111" w:sz="6" w:space="0"/>
              <w:right w:val="outset" w:color="111111" w:sz="6"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采购文件要求</w:t>
            </w:r>
          </w:p>
        </w:tc>
        <w:tc>
          <w:tcPr>
            <w:tcW w:w="1418" w:type="dxa"/>
            <w:tcBorders>
              <w:top w:val="single" w:color="auto" w:sz="12" w:space="0"/>
              <w:left w:val="outset" w:color="111111" w:sz="6" w:space="0"/>
              <w:bottom w:val="outset" w:color="111111" w:sz="6" w:space="0"/>
              <w:right w:val="outset" w:color="111111" w:sz="6"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自查结论</w:t>
            </w:r>
          </w:p>
        </w:tc>
        <w:tc>
          <w:tcPr>
            <w:tcW w:w="1959" w:type="dxa"/>
            <w:tcBorders>
              <w:top w:val="single" w:color="auto" w:sz="12" w:space="0"/>
              <w:left w:val="outset" w:color="111111" w:sz="6" w:space="0"/>
              <w:bottom w:val="outset" w:color="111111" w:sz="6" w:space="0"/>
              <w:right w:val="single" w:color="auto" w:sz="12"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57" w:hRule="atLeast"/>
          <w:jc w:val="center"/>
        </w:trPr>
        <w:tc>
          <w:tcPr>
            <w:tcW w:w="831" w:type="dxa"/>
            <w:vMerge w:val="restart"/>
            <w:tcBorders>
              <w:top w:val="outset" w:color="111111" w:sz="6" w:space="0"/>
              <w:left w:val="single" w:color="auto" w:sz="12" w:space="0"/>
              <w:right w:val="outset" w:color="111111" w:sz="6"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w:t>
            </w:r>
          </w:p>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w:t>
            </w:r>
          </w:p>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w:t>
            </w:r>
          </w:p>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审</w:t>
            </w:r>
          </w:p>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查</w:t>
            </w:r>
          </w:p>
        </w:tc>
        <w:tc>
          <w:tcPr>
            <w:tcW w:w="4725" w:type="dxa"/>
            <w:tcBorders>
              <w:top w:val="outset" w:color="111111" w:sz="6" w:space="0"/>
              <w:left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1、投标人按招标文件要求签署、签章；</w:t>
            </w:r>
          </w:p>
        </w:tc>
        <w:tc>
          <w:tcPr>
            <w:tcW w:w="1418" w:type="dxa"/>
            <w:tcBorders>
              <w:top w:val="outset" w:color="111111" w:sz="6" w:space="0"/>
              <w:left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w:t>
            </w:r>
          </w:p>
        </w:tc>
        <w:tc>
          <w:tcPr>
            <w:tcW w:w="1959" w:type="dxa"/>
            <w:tcBorders>
              <w:top w:val="outset" w:color="111111" w:sz="6" w:space="0"/>
              <w:left w:val="outset" w:color="111111" w:sz="6" w:space="0"/>
              <w:right w:val="single" w:color="auto" w:sz="12"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p>
        </w:tc>
        <w:tc>
          <w:tcPr>
            <w:tcW w:w="4725"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2、投标有效期满足招标文件要求；</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p>
        </w:tc>
        <w:tc>
          <w:tcPr>
            <w:tcW w:w="4725"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投标文件完全满足招标文件的实质性条款（即标注*号条款）无负偏离的；</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p>
        </w:tc>
        <w:tc>
          <w:tcPr>
            <w:tcW w:w="4725"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4、投标人所供服务与招标文件第二章招标需求二、详细采购需求中的服务条款发生负偏离条数未超过15条（不含）；</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p>
        </w:tc>
        <w:tc>
          <w:tcPr>
            <w:tcW w:w="4725"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5、投标文件没有采购人不能接受的附加的条件；</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p>
        </w:tc>
        <w:tc>
          <w:tcPr>
            <w:tcW w:w="4725"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6、委托人提供法定代表人授权委托书，填写项目齐全；</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p>
        </w:tc>
        <w:tc>
          <w:tcPr>
            <w:tcW w:w="4725"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7、投标文件提供资料齐全并且不存在内容虚假；</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p>
        </w:tc>
        <w:tc>
          <w:tcPr>
            <w:tcW w:w="4725"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8、投标文件的实质性内容使用中文表述、表述明确、前后不存在矛盾且使用计量单位均符合招标文件要求；</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p>
        </w:tc>
        <w:tc>
          <w:tcPr>
            <w:tcW w:w="4725"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9、投标文件的关键内容字迹清晰、能够辨认，且投标文件中经修正的内容（如有）字迹清晰可以辩认并且修改处均按规定签署、盖章；</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bottom w:val="single" w:color="auto" w:sz="12"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p>
        </w:tc>
        <w:tc>
          <w:tcPr>
            <w:tcW w:w="4725" w:type="dxa"/>
            <w:tcBorders>
              <w:top w:val="outset" w:color="111111" w:sz="6" w:space="0"/>
              <w:left w:val="outset" w:color="111111" w:sz="6" w:space="0"/>
              <w:bottom w:val="single" w:color="auto" w:sz="12"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10、不含法律、法规和招标文件规定的其他无效情形。</w:t>
            </w:r>
          </w:p>
        </w:tc>
        <w:tc>
          <w:tcPr>
            <w:tcW w:w="1418" w:type="dxa"/>
            <w:tcBorders>
              <w:top w:val="outset" w:color="111111" w:sz="6" w:space="0"/>
              <w:left w:val="outset" w:color="111111" w:sz="6" w:space="0"/>
              <w:bottom w:val="single" w:color="auto" w:sz="12" w:space="0"/>
              <w:right w:val="outset" w:color="111111" w:sz="6" w:space="0"/>
            </w:tcBorders>
            <w:noWrap w:val="0"/>
            <w:vAlign w:val="center"/>
          </w:tcPr>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□通过 </w:t>
            </w:r>
          </w:p>
          <w:p>
            <w:pPr>
              <w:spacing w:line="3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w:t>
            </w:r>
          </w:p>
        </w:tc>
        <w:tc>
          <w:tcPr>
            <w:tcW w:w="1959" w:type="dxa"/>
            <w:tcBorders>
              <w:top w:val="outset" w:color="111111" w:sz="6" w:space="0"/>
              <w:left w:val="outset" w:color="111111" w:sz="6" w:space="0"/>
              <w:bottom w:val="single" w:color="auto" w:sz="12" w:space="0"/>
              <w:right w:val="single" w:color="auto" w:sz="12" w:space="0"/>
            </w:tcBorders>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备注：投标人自查表将作为投标人有效性审查的重要内容之一，投标人请按照其内容及序列要求在投标文件中对应如实提供。</w:t>
      </w:r>
      <w:r>
        <w:rPr>
          <w:rFonts w:hint="default" w:ascii="Times New Roman" w:hAnsi="Times New Roman" w:cs="Times New Roman"/>
          <w:b/>
          <w:color w:val="auto"/>
          <w:szCs w:val="21"/>
          <w:highlight w:val="none"/>
        </w:rPr>
        <w:br w:type="page"/>
      </w:r>
      <w:r>
        <w:rPr>
          <w:rFonts w:hint="default" w:ascii="Times New Roman" w:hAnsi="Times New Roman" w:cs="Times New Roman"/>
          <w:b/>
          <w:color w:val="auto"/>
          <w:szCs w:val="21"/>
          <w:highlight w:val="none"/>
        </w:rPr>
        <w:t>格式</w:t>
      </w:r>
      <w:r>
        <w:rPr>
          <w:rFonts w:hint="default" w:ascii="Times New Roman" w:hAnsi="Times New Roman" w:cs="Times New Roman"/>
          <w:b/>
          <w:color w:val="auto"/>
          <w:szCs w:val="21"/>
          <w:highlight w:val="none"/>
          <w:lang w:val="en-US" w:eastAsia="zh-CN"/>
        </w:rPr>
        <w:t>六</w:t>
      </w:r>
      <w:r>
        <w:rPr>
          <w:rFonts w:hint="default" w:ascii="Times New Roman" w:hAnsi="Times New Roman" w:cs="Times New Roman"/>
          <w:b/>
          <w:color w:val="auto"/>
          <w:szCs w:val="21"/>
          <w:highlight w:val="none"/>
        </w:rPr>
        <w:t>：</w:t>
      </w:r>
    </w:p>
    <w:p>
      <w:pPr>
        <w:spacing w:line="36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法定代表人资格证明</w:t>
      </w:r>
    </w:p>
    <w:p>
      <w:pPr>
        <w:spacing w:line="360" w:lineRule="auto"/>
        <w:rPr>
          <w:rFonts w:hint="default" w:ascii="Times New Roman" w:hAnsi="Times New Roman" w:cs="Times New Roman"/>
          <w:bCs/>
          <w:color w:val="auto"/>
          <w:szCs w:val="21"/>
          <w:highlight w:val="none"/>
        </w:rPr>
      </w:pPr>
    </w:p>
    <w:p>
      <w:pPr>
        <w:spacing w:line="360" w:lineRule="auto"/>
        <w:rPr>
          <w:rFonts w:hint="default" w:ascii="Times New Roman" w:hAnsi="Times New Roman" w:cs="Times New Roman"/>
          <w:bCs/>
          <w:color w:val="auto"/>
          <w:szCs w:val="21"/>
          <w:highlight w:val="none"/>
          <w:u w:val="single"/>
        </w:rPr>
      </w:pPr>
      <w:r>
        <w:rPr>
          <w:rFonts w:hint="default" w:ascii="Times New Roman" w:hAnsi="Times New Roman" w:cs="Times New Roman"/>
          <w:bCs/>
          <w:color w:val="auto"/>
          <w:szCs w:val="21"/>
          <w:highlight w:val="none"/>
        </w:rPr>
        <w:t>单位名称：</w:t>
      </w:r>
      <w:r>
        <w:rPr>
          <w:rFonts w:hint="default" w:ascii="Times New Roman" w:hAnsi="Times New Roman" w:cs="Times New Roman"/>
          <w:bCs/>
          <w:color w:val="auto"/>
          <w:szCs w:val="21"/>
          <w:highlight w:val="none"/>
          <w:u w:val="single"/>
        </w:rPr>
        <w:t xml:space="preserve">                                                                    </w:t>
      </w:r>
    </w:p>
    <w:p>
      <w:pPr>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地    址：</w:t>
      </w:r>
      <w:r>
        <w:rPr>
          <w:rFonts w:hint="default" w:ascii="Times New Roman" w:hAnsi="Times New Roman" w:cs="Times New Roman"/>
          <w:bCs/>
          <w:color w:val="auto"/>
          <w:szCs w:val="21"/>
          <w:highlight w:val="none"/>
          <w:u w:val="single"/>
        </w:rPr>
        <w:t xml:space="preserve">                                                                    </w:t>
      </w:r>
    </w:p>
    <w:p>
      <w:pPr>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    名：</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 xml:space="preserve">  性    别：</w:t>
      </w:r>
      <w:r>
        <w:rPr>
          <w:rFonts w:hint="default" w:ascii="Times New Roman" w:hAnsi="Times New Roman" w:cs="Times New Roman"/>
          <w:bCs/>
          <w:color w:val="auto"/>
          <w:szCs w:val="21"/>
          <w:highlight w:val="none"/>
          <w:u w:val="single"/>
        </w:rPr>
        <w:t xml:space="preserve">                              </w:t>
      </w:r>
    </w:p>
    <w:p>
      <w:pPr>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年    龄：</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 xml:space="preserve">  职    务：</w:t>
      </w:r>
      <w:r>
        <w:rPr>
          <w:rFonts w:hint="default" w:ascii="Times New Roman" w:hAnsi="Times New Roman" w:cs="Times New Roman"/>
          <w:bCs/>
          <w:color w:val="auto"/>
          <w:szCs w:val="21"/>
          <w:highlight w:val="none"/>
          <w:u w:val="single"/>
        </w:rPr>
        <w:t xml:space="preserve">                              </w:t>
      </w:r>
    </w:p>
    <w:p>
      <w:pPr>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身份证号码：</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系</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（投标人单位全称）的法定代表人。</w:t>
      </w:r>
    </w:p>
    <w:p>
      <w:pPr>
        <w:spacing w:line="360" w:lineRule="auto"/>
        <w:ind w:firstLine="420" w:firstLineChars="200"/>
        <w:rPr>
          <w:rFonts w:hint="default" w:ascii="Times New Roman" w:hAnsi="Times New Roman" w:cs="Times New Roman"/>
          <w:bCs/>
          <w:color w:val="auto"/>
          <w:szCs w:val="21"/>
          <w:highlight w:val="none"/>
        </w:rPr>
      </w:pPr>
    </w:p>
    <w:p>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特此证明。</w:t>
      </w:r>
    </w:p>
    <w:p>
      <w:pPr>
        <w:spacing w:line="360" w:lineRule="auto"/>
        <w:ind w:firstLine="420" w:firstLineChars="200"/>
        <w:rPr>
          <w:rFonts w:hint="default" w:ascii="Times New Roman" w:hAnsi="Times New Roman" w:cs="Times New Roman"/>
          <w:bCs/>
          <w:color w:val="auto"/>
          <w:szCs w:val="21"/>
          <w:highlight w:val="none"/>
        </w:rPr>
      </w:pPr>
    </w:p>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后附法定代表人身份证正反面复印件，加盖公章。</w:t>
      </w:r>
    </w:p>
    <w:p>
      <w:pPr>
        <w:spacing w:line="360" w:lineRule="auto"/>
        <w:rPr>
          <w:rFonts w:hint="default" w:ascii="Times New Roman" w:hAnsi="Times New Roman" w:cs="Times New Roman"/>
          <w:bCs/>
          <w:color w:val="auto"/>
          <w:szCs w:val="21"/>
          <w:highlight w:val="none"/>
        </w:rPr>
      </w:pPr>
    </w:p>
    <w:p>
      <w:pPr>
        <w:spacing w:line="360" w:lineRule="auto"/>
        <w:rPr>
          <w:rFonts w:hint="default" w:ascii="Times New Roman" w:hAnsi="Times New Roman" w:cs="Times New Roman"/>
          <w:bCs/>
          <w:color w:val="auto"/>
          <w:szCs w:val="21"/>
          <w:highlight w:val="none"/>
        </w:rPr>
      </w:pPr>
    </w:p>
    <w:p>
      <w:pPr>
        <w:spacing w:line="360" w:lineRule="auto"/>
        <w:rPr>
          <w:rFonts w:hint="default" w:ascii="Times New Roman" w:hAnsi="Times New Roman" w:cs="Times New Roman"/>
          <w:bCs/>
          <w:color w:val="auto"/>
          <w:szCs w:val="21"/>
          <w:highlight w:val="none"/>
        </w:rPr>
      </w:pPr>
    </w:p>
    <w:p>
      <w:pPr>
        <w:spacing w:line="360" w:lineRule="auto"/>
        <w:rPr>
          <w:rFonts w:hint="default" w:ascii="Times New Roman" w:hAnsi="Times New Roman" w:cs="Times New Roman"/>
          <w:bCs/>
          <w:color w:val="auto"/>
          <w:szCs w:val="21"/>
          <w:highlight w:val="none"/>
        </w:rPr>
      </w:pPr>
    </w:p>
    <w:p>
      <w:pPr>
        <w:spacing w:line="360" w:lineRule="auto"/>
        <w:rPr>
          <w:rFonts w:hint="default" w:ascii="Times New Roman" w:hAnsi="Times New Roman" w:cs="Times New Roman"/>
          <w:bCs/>
          <w:color w:val="auto"/>
          <w:szCs w:val="21"/>
          <w:highlight w:val="none"/>
        </w:rPr>
      </w:pPr>
    </w:p>
    <w:p>
      <w:pPr>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投标人全称（盖公章）：</w:t>
      </w:r>
    </w:p>
    <w:p>
      <w:pPr>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投标人法定代表人（</w:t>
      </w:r>
      <w:r>
        <w:rPr>
          <w:rFonts w:hint="default" w:ascii="Times New Roman" w:hAnsi="Times New Roman" w:cs="Times New Roman"/>
          <w:color w:val="auto"/>
          <w:szCs w:val="21"/>
          <w:highlight w:val="none"/>
        </w:rPr>
        <w:t>签字或盖章</w:t>
      </w:r>
      <w:r>
        <w:rPr>
          <w:rFonts w:hint="default" w:ascii="Times New Roman" w:hAnsi="Times New Roman" w:cs="Times New Roman"/>
          <w:bCs/>
          <w:color w:val="auto"/>
          <w:szCs w:val="21"/>
          <w:highlight w:val="none"/>
        </w:rPr>
        <w:t xml:space="preserve">）：                       </w:t>
      </w:r>
    </w:p>
    <w:p>
      <w:pPr>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日期：年  月  日</w:t>
      </w: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Cs w:val="21"/>
          <w:highlight w:val="none"/>
        </w:rPr>
      </w:pPr>
    </w:p>
    <w:p>
      <w:pPr>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br w:type="page"/>
      </w:r>
      <w:r>
        <w:rPr>
          <w:rFonts w:hint="default" w:ascii="Times New Roman" w:hAnsi="Times New Roman" w:cs="Times New Roman"/>
          <w:b/>
          <w:color w:val="auto"/>
          <w:szCs w:val="21"/>
          <w:highlight w:val="none"/>
        </w:rPr>
        <w:t>格式</w:t>
      </w:r>
      <w:r>
        <w:rPr>
          <w:rFonts w:hint="default" w:ascii="Times New Roman" w:hAnsi="Times New Roman" w:cs="Times New Roman"/>
          <w:b/>
          <w:color w:val="auto"/>
          <w:szCs w:val="21"/>
          <w:highlight w:val="none"/>
          <w:lang w:val="en-US" w:eastAsia="zh-CN"/>
        </w:rPr>
        <w:t>七</w:t>
      </w:r>
      <w:r>
        <w:rPr>
          <w:rFonts w:hint="default" w:ascii="Times New Roman" w:hAnsi="Times New Roman" w:cs="Times New Roman"/>
          <w:b/>
          <w:color w:val="auto"/>
          <w:szCs w:val="21"/>
          <w:highlight w:val="none"/>
        </w:rPr>
        <w:t>：</w:t>
      </w:r>
    </w:p>
    <w:p>
      <w:pPr>
        <w:spacing w:line="36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法定代表人授权委托书</w:t>
      </w:r>
    </w:p>
    <w:p>
      <w:pPr>
        <w:spacing w:line="360" w:lineRule="auto"/>
        <w:jc w:val="center"/>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致（代理机构）</w:t>
      </w:r>
      <w:r>
        <w:rPr>
          <w:rFonts w:hint="default" w:ascii="Times New Roman" w:hAnsi="Times New Roman" w:cs="Times New Roman"/>
          <w:color w:val="auto"/>
          <w:szCs w:val="21"/>
          <w:highlight w:val="none"/>
        </w:rPr>
        <w:t>：</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u w:val="single"/>
        </w:rPr>
        <w:t xml:space="preserve">  （投标人全称）   </w:t>
      </w:r>
      <w:r>
        <w:rPr>
          <w:rFonts w:hint="default" w:ascii="Times New Roman" w:hAnsi="Times New Roman" w:cs="Times New Roman"/>
          <w:color w:val="auto"/>
          <w:szCs w:val="21"/>
          <w:highlight w:val="none"/>
        </w:rPr>
        <w:t>法定代表人</w:t>
      </w:r>
      <w:r>
        <w:rPr>
          <w:rFonts w:hint="default" w:ascii="Times New Roman" w:hAnsi="Times New Roman" w:cs="Times New Roman"/>
          <w:color w:val="auto"/>
          <w:szCs w:val="21"/>
          <w:highlight w:val="none"/>
          <w:u w:val="single"/>
        </w:rPr>
        <w:t xml:space="preserve"> （姓名、职务） </w:t>
      </w:r>
      <w:r>
        <w:rPr>
          <w:rFonts w:hint="default" w:ascii="Times New Roman" w:hAnsi="Times New Roman" w:cs="Times New Roman"/>
          <w:color w:val="auto"/>
          <w:szCs w:val="21"/>
          <w:highlight w:val="none"/>
        </w:rPr>
        <w:t>授权</w:t>
      </w:r>
      <w:r>
        <w:rPr>
          <w:rFonts w:hint="default" w:ascii="Times New Roman" w:hAnsi="Times New Roman" w:cs="Times New Roman"/>
          <w:color w:val="auto"/>
          <w:szCs w:val="21"/>
          <w:highlight w:val="none"/>
          <w:u w:val="single"/>
        </w:rPr>
        <w:t xml:space="preserve"> （授权代表姓名、职务） </w:t>
      </w:r>
      <w:r>
        <w:rPr>
          <w:rFonts w:hint="default" w:ascii="Times New Roman" w:hAnsi="Times New Roman" w:cs="Times New Roman"/>
          <w:color w:val="auto"/>
          <w:szCs w:val="21"/>
          <w:highlight w:val="none"/>
        </w:rPr>
        <w:t>为本公司合法代理人，参加贵招标代理公司组织的</w:t>
      </w:r>
      <w:r>
        <w:rPr>
          <w:rFonts w:hint="default" w:ascii="Times New Roman" w:hAnsi="Times New Roman" w:cs="Times New Roman"/>
          <w:color w:val="auto"/>
          <w:szCs w:val="21"/>
          <w:highlight w:val="none"/>
          <w:u w:val="single"/>
        </w:rPr>
        <w:t xml:space="preserve"> （项目编号、项目名称） </w:t>
      </w:r>
      <w:r>
        <w:rPr>
          <w:rFonts w:hint="default" w:ascii="Times New Roman" w:hAnsi="Times New Roman" w:cs="Times New Roman"/>
          <w:color w:val="auto"/>
          <w:szCs w:val="21"/>
          <w:highlight w:val="none"/>
        </w:rPr>
        <w:t>项目的招标投标活动，代表本公司处理招标投标活动中的一切事宜。</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本授权书于</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日签字或盖章生效，特此声明。</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pStyle w:val="17"/>
        <w:widowControl/>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投标人全称（盖公章）：</w:t>
      </w:r>
    </w:p>
    <w:p>
      <w:pPr>
        <w:pStyle w:val="17"/>
        <w:widowControl/>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投标人法定代表人（签字或盖章）：</w:t>
      </w:r>
    </w:p>
    <w:p>
      <w:pPr>
        <w:pStyle w:val="17"/>
        <w:spacing w:line="360" w:lineRule="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 xml:space="preserve">                                         日期：年  月  日</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附：</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授权代表姓名：</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职        务：</w:t>
      </w:r>
    </w:p>
    <w:p>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授权代表签字或盖章：</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详细通讯地址：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邮 政 编  码：</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传        真：</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电        话：</w:t>
      </w:r>
    </w:p>
    <w:p>
      <w:pPr>
        <w:spacing w:line="360" w:lineRule="auto"/>
        <w:jc w:val="center"/>
        <w:rPr>
          <w:rFonts w:hint="default" w:ascii="Times New Roman" w:hAnsi="Times New Roman" w:cs="Times New Roman"/>
          <w:color w:val="auto"/>
          <w:szCs w:val="21"/>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此处请附法定代表人和授权代表的身份证复印件并加盖公章，也可另起一页。</w:t>
            </w:r>
          </w:p>
          <w:p>
            <w:pPr>
              <w:spacing w:line="360" w:lineRule="auto"/>
              <w:ind w:firstLine="316" w:firstLineChars="150"/>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另请提供投标人代表的社保部门出具的开标日近三个月内任意一个月的社保证明。</w:t>
            </w:r>
          </w:p>
        </w:tc>
      </w:tr>
    </w:tbl>
    <w:p>
      <w:pPr>
        <w:spacing w:line="360" w:lineRule="auto"/>
        <w:ind w:firstLine="3150" w:firstLineChars="1500"/>
        <w:rPr>
          <w:rFonts w:hint="default" w:ascii="Times New Roman" w:hAnsi="Times New Roman" w:cs="Times New Roman"/>
          <w:color w:val="auto"/>
          <w:szCs w:val="21"/>
          <w:highlight w:val="none"/>
        </w:rPr>
      </w:pPr>
    </w:p>
    <w:p>
      <w:pPr>
        <w:spacing w:line="360" w:lineRule="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说明：法定代表人参加本项目的</w:t>
      </w:r>
      <w:r>
        <w:rPr>
          <w:rFonts w:hint="default" w:ascii="Times New Roman" w:hAnsi="Times New Roman" w:eastAsia="宋体" w:cs="Times New Roman"/>
          <w:b/>
          <w:bCs w:val="0"/>
          <w:color w:val="auto"/>
          <w:szCs w:val="21"/>
          <w:highlight w:val="none"/>
          <w:lang w:eastAsia="zh-CN"/>
        </w:rPr>
        <w:t>，</w:t>
      </w:r>
      <w:r>
        <w:rPr>
          <w:rFonts w:hint="default" w:ascii="Times New Roman" w:hAnsi="Times New Roman" w:eastAsia="宋体" w:cs="Times New Roman"/>
          <w:b/>
          <w:bCs w:val="0"/>
          <w:color w:val="auto"/>
          <w:szCs w:val="21"/>
          <w:highlight w:val="none"/>
          <w:lang w:val="en-US" w:eastAsia="zh-CN"/>
        </w:rPr>
        <w:t>无须提供本授权委托书</w:t>
      </w:r>
      <w:r>
        <w:rPr>
          <w:rFonts w:hint="default" w:ascii="Times New Roman" w:hAnsi="Times New Roman" w:eastAsia="宋体" w:cs="Times New Roman"/>
          <w:b/>
          <w:bCs w:val="0"/>
          <w:color w:val="auto"/>
          <w:szCs w:val="21"/>
          <w:highlight w:val="none"/>
        </w:rPr>
        <w:t>。</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br w:type="page"/>
      </w:r>
      <w:r>
        <w:rPr>
          <w:rFonts w:hint="default" w:ascii="Times New Roman" w:hAnsi="Times New Roman" w:cs="Times New Roman"/>
          <w:b/>
          <w:bCs/>
          <w:color w:val="auto"/>
          <w:szCs w:val="21"/>
          <w:highlight w:val="none"/>
        </w:rPr>
        <w:t>格式</w:t>
      </w:r>
      <w:r>
        <w:rPr>
          <w:rFonts w:hint="default" w:ascii="Times New Roman" w:hAnsi="Times New Roman" w:cs="Times New Roman"/>
          <w:b/>
          <w:bCs/>
          <w:color w:val="auto"/>
          <w:szCs w:val="21"/>
          <w:highlight w:val="none"/>
          <w:lang w:val="en-US" w:eastAsia="zh-CN"/>
        </w:rPr>
        <w:t>八</w:t>
      </w:r>
      <w:r>
        <w:rPr>
          <w:rFonts w:hint="default" w:ascii="Times New Roman" w:hAnsi="Times New Roman" w:cs="Times New Roman"/>
          <w:b/>
          <w:bCs/>
          <w:color w:val="auto"/>
          <w:szCs w:val="21"/>
          <w:highlight w:val="none"/>
        </w:rPr>
        <w:t>：</w:t>
      </w:r>
    </w:p>
    <w:p>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商务条款响应（偏离）表</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项目名称：</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项目编号：</w:t>
      </w:r>
      <w:r>
        <w:rPr>
          <w:rFonts w:hint="default" w:ascii="Times New Roman" w:hAnsi="Times New Roman" w:cs="Times New Roman"/>
          <w:color w:val="auto"/>
          <w:szCs w:val="21"/>
          <w:highlight w:val="none"/>
          <w:u w:val="single"/>
        </w:rPr>
        <w:t xml:space="preserve">                      </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w:t>
            </w:r>
          </w:p>
        </w:tc>
        <w:tc>
          <w:tcPr>
            <w:tcW w:w="2700" w:type="dxa"/>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采购文件要求</w:t>
            </w:r>
          </w:p>
        </w:tc>
        <w:tc>
          <w:tcPr>
            <w:tcW w:w="1260" w:type="dxa"/>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是否响应</w:t>
            </w:r>
          </w:p>
        </w:tc>
        <w:tc>
          <w:tcPr>
            <w:tcW w:w="3020" w:type="dxa"/>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投标人的承诺或说明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rPr>
                <w:rFonts w:hint="default" w:ascii="Times New Roman" w:hAnsi="Times New Roman" w:cs="Times New Roman"/>
                <w:color w:val="auto"/>
                <w:szCs w:val="21"/>
                <w:highlight w:val="none"/>
              </w:rPr>
            </w:pPr>
          </w:p>
        </w:tc>
        <w:tc>
          <w:tcPr>
            <w:tcW w:w="2700" w:type="dxa"/>
            <w:noWrap w:val="0"/>
            <w:vAlign w:val="center"/>
          </w:tcPr>
          <w:p>
            <w:pPr>
              <w:spacing w:line="400" w:lineRule="exact"/>
              <w:rPr>
                <w:rFonts w:hint="default" w:ascii="Times New Roman" w:hAnsi="Times New Roman" w:cs="Times New Roman"/>
                <w:color w:val="auto"/>
                <w:szCs w:val="21"/>
                <w:highlight w:val="none"/>
              </w:rPr>
            </w:pPr>
          </w:p>
        </w:tc>
        <w:tc>
          <w:tcPr>
            <w:tcW w:w="1260" w:type="dxa"/>
            <w:noWrap w:val="0"/>
            <w:vAlign w:val="center"/>
          </w:tcPr>
          <w:p>
            <w:pPr>
              <w:spacing w:line="400" w:lineRule="exact"/>
              <w:rPr>
                <w:rFonts w:hint="default" w:ascii="Times New Roman" w:hAnsi="Times New Roman" w:cs="Times New Roman"/>
                <w:color w:val="auto"/>
                <w:szCs w:val="21"/>
                <w:highlight w:val="none"/>
              </w:rPr>
            </w:pPr>
          </w:p>
        </w:tc>
        <w:tc>
          <w:tcPr>
            <w:tcW w:w="3020" w:type="dxa"/>
            <w:noWrap w:val="0"/>
            <w:vAlign w:val="center"/>
          </w:tcPr>
          <w:p>
            <w:pPr>
              <w:spacing w:line="400" w:lineRule="exact"/>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rPr>
                <w:rFonts w:hint="default" w:ascii="Times New Roman" w:hAnsi="Times New Roman" w:cs="Times New Roman"/>
                <w:color w:val="auto"/>
                <w:szCs w:val="21"/>
                <w:highlight w:val="none"/>
              </w:rPr>
            </w:pPr>
          </w:p>
        </w:tc>
        <w:tc>
          <w:tcPr>
            <w:tcW w:w="2700" w:type="dxa"/>
            <w:noWrap w:val="0"/>
            <w:vAlign w:val="center"/>
          </w:tcPr>
          <w:p>
            <w:pPr>
              <w:spacing w:line="400" w:lineRule="exact"/>
              <w:rPr>
                <w:rFonts w:hint="default" w:ascii="Times New Roman" w:hAnsi="Times New Roman" w:cs="Times New Roman"/>
                <w:color w:val="auto"/>
                <w:szCs w:val="21"/>
                <w:highlight w:val="none"/>
              </w:rPr>
            </w:pPr>
          </w:p>
        </w:tc>
        <w:tc>
          <w:tcPr>
            <w:tcW w:w="1260" w:type="dxa"/>
            <w:noWrap w:val="0"/>
            <w:vAlign w:val="center"/>
          </w:tcPr>
          <w:p>
            <w:pPr>
              <w:spacing w:line="400" w:lineRule="exact"/>
              <w:rPr>
                <w:rFonts w:hint="default" w:ascii="Times New Roman" w:hAnsi="Times New Roman" w:cs="Times New Roman"/>
                <w:color w:val="auto"/>
                <w:szCs w:val="21"/>
                <w:highlight w:val="none"/>
              </w:rPr>
            </w:pPr>
          </w:p>
        </w:tc>
        <w:tc>
          <w:tcPr>
            <w:tcW w:w="3020" w:type="dxa"/>
            <w:noWrap w:val="0"/>
            <w:vAlign w:val="center"/>
          </w:tcPr>
          <w:p>
            <w:pPr>
              <w:spacing w:line="400" w:lineRule="exact"/>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rPr>
                <w:rFonts w:hint="default" w:ascii="Times New Roman" w:hAnsi="Times New Roman" w:cs="Times New Roman"/>
                <w:color w:val="auto"/>
                <w:szCs w:val="21"/>
                <w:highlight w:val="none"/>
              </w:rPr>
            </w:pPr>
          </w:p>
        </w:tc>
        <w:tc>
          <w:tcPr>
            <w:tcW w:w="2700" w:type="dxa"/>
            <w:noWrap w:val="0"/>
            <w:vAlign w:val="center"/>
          </w:tcPr>
          <w:p>
            <w:pPr>
              <w:spacing w:line="400" w:lineRule="exact"/>
              <w:rPr>
                <w:rFonts w:hint="default" w:ascii="Times New Roman" w:hAnsi="Times New Roman" w:cs="Times New Roman"/>
                <w:color w:val="auto"/>
                <w:szCs w:val="21"/>
                <w:highlight w:val="none"/>
              </w:rPr>
            </w:pPr>
          </w:p>
        </w:tc>
        <w:tc>
          <w:tcPr>
            <w:tcW w:w="1260" w:type="dxa"/>
            <w:noWrap w:val="0"/>
            <w:vAlign w:val="center"/>
          </w:tcPr>
          <w:p>
            <w:pPr>
              <w:spacing w:line="400" w:lineRule="exact"/>
              <w:rPr>
                <w:rFonts w:hint="default" w:ascii="Times New Roman" w:hAnsi="Times New Roman" w:cs="Times New Roman"/>
                <w:color w:val="auto"/>
                <w:szCs w:val="21"/>
                <w:highlight w:val="none"/>
              </w:rPr>
            </w:pPr>
          </w:p>
        </w:tc>
        <w:tc>
          <w:tcPr>
            <w:tcW w:w="3020" w:type="dxa"/>
            <w:noWrap w:val="0"/>
            <w:vAlign w:val="center"/>
          </w:tcPr>
          <w:p>
            <w:pPr>
              <w:spacing w:line="400" w:lineRule="exact"/>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rPr>
                <w:rFonts w:hint="default" w:ascii="Times New Roman" w:hAnsi="Times New Roman" w:cs="Times New Roman"/>
                <w:color w:val="auto"/>
                <w:szCs w:val="21"/>
                <w:highlight w:val="none"/>
              </w:rPr>
            </w:pPr>
          </w:p>
        </w:tc>
        <w:tc>
          <w:tcPr>
            <w:tcW w:w="2700" w:type="dxa"/>
            <w:noWrap w:val="0"/>
            <w:vAlign w:val="center"/>
          </w:tcPr>
          <w:p>
            <w:pPr>
              <w:spacing w:line="400" w:lineRule="exact"/>
              <w:rPr>
                <w:rFonts w:hint="default" w:ascii="Times New Roman" w:hAnsi="Times New Roman" w:cs="Times New Roman"/>
                <w:color w:val="auto"/>
                <w:szCs w:val="21"/>
                <w:highlight w:val="none"/>
              </w:rPr>
            </w:pPr>
          </w:p>
        </w:tc>
        <w:tc>
          <w:tcPr>
            <w:tcW w:w="1260" w:type="dxa"/>
            <w:noWrap w:val="0"/>
            <w:vAlign w:val="center"/>
          </w:tcPr>
          <w:p>
            <w:pPr>
              <w:spacing w:line="400" w:lineRule="exact"/>
              <w:rPr>
                <w:rFonts w:hint="default" w:ascii="Times New Roman" w:hAnsi="Times New Roman" w:cs="Times New Roman"/>
                <w:color w:val="auto"/>
                <w:szCs w:val="21"/>
                <w:highlight w:val="none"/>
              </w:rPr>
            </w:pPr>
          </w:p>
        </w:tc>
        <w:tc>
          <w:tcPr>
            <w:tcW w:w="3020" w:type="dxa"/>
            <w:noWrap w:val="0"/>
            <w:vAlign w:val="center"/>
          </w:tcPr>
          <w:p>
            <w:pPr>
              <w:spacing w:line="400" w:lineRule="exact"/>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rPr>
                <w:rFonts w:hint="default" w:ascii="Times New Roman" w:hAnsi="Times New Roman" w:cs="Times New Roman"/>
                <w:color w:val="auto"/>
                <w:szCs w:val="21"/>
                <w:highlight w:val="none"/>
              </w:rPr>
            </w:pPr>
          </w:p>
        </w:tc>
        <w:tc>
          <w:tcPr>
            <w:tcW w:w="2700" w:type="dxa"/>
            <w:noWrap w:val="0"/>
            <w:vAlign w:val="center"/>
          </w:tcPr>
          <w:p>
            <w:pPr>
              <w:spacing w:line="400" w:lineRule="exact"/>
              <w:rPr>
                <w:rFonts w:hint="default" w:ascii="Times New Roman" w:hAnsi="Times New Roman" w:cs="Times New Roman"/>
                <w:color w:val="auto"/>
                <w:szCs w:val="21"/>
                <w:highlight w:val="none"/>
              </w:rPr>
            </w:pPr>
          </w:p>
        </w:tc>
        <w:tc>
          <w:tcPr>
            <w:tcW w:w="1260" w:type="dxa"/>
            <w:noWrap w:val="0"/>
            <w:vAlign w:val="center"/>
          </w:tcPr>
          <w:p>
            <w:pPr>
              <w:spacing w:line="400" w:lineRule="exact"/>
              <w:rPr>
                <w:rFonts w:hint="default" w:ascii="Times New Roman" w:hAnsi="Times New Roman" w:cs="Times New Roman"/>
                <w:color w:val="auto"/>
                <w:szCs w:val="21"/>
                <w:highlight w:val="none"/>
              </w:rPr>
            </w:pPr>
          </w:p>
        </w:tc>
        <w:tc>
          <w:tcPr>
            <w:tcW w:w="3020" w:type="dxa"/>
            <w:noWrap w:val="0"/>
            <w:vAlign w:val="center"/>
          </w:tcPr>
          <w:p>
            <w:pPr>
              <w:spacing w:line="400" w:lineRule="exact"/>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rPr>
                <w:rFonts w:hint="default" w:ascii="Times New Roman" w:hAnsi="Times New Roman" w:cs="Times New Roman"/>
                <w:color w:val="auto"/>
                <w:szCs w:val="21"/>
                <w:highlight w:val="none"/>
              </w:rPr>
            </w:pPr>
          </w:p>
        </w:tc>
        <w:tc>
          <w:tcPr>
            <w:tcW w:w="2700" w:type="dxa"/>
            <w:noWrap w:val="0"/>
            <w:vAlign w:val="center"/>
          </w:tcPr>
          <w:p>
            <w:pPr>
              <w:spacing w:line="400" w:lineRule="exact"/>
              <w:rPr>
                <w:rFonts w:hint="default" w:ascii="Times New Roman" w:hAnsi="Times New Roman" w:cs="Times New Roman"/>
                <w:color w:val="auto"/>
                <w:szCs w:val="21"/>
                <w:highlight w:val="none"/>
              </w:rPr>
            </w:pPr>
          </w:p>
        </w:tc>
        <w:tc>
          <w:tcPr>
            <w:tcW w:w="1260" w:type="dxa"/>
            <w:noWrap w:val="0"/>
            <w:vAlign w:val="center"/>
          </w:tcPr>
          <w:p>
            <w:pPr>
              <w:spacing w:line="400" w:lineRule="exact"/>
              <w:rPr>
                <w:rFonts w:hint="default" w:ascii="Times New Roman" w:hAnsi="Times New Roman" w:cs="Times New Roman"/>
                <w:color w:val="auto"/>
                <w:szCs w:val="21"/>
                <w:highlight w:val="none"/>
              </w:rPr>
            </w:pPr>
          </w:p>
        </w:tc>
        <w:tc>
          <w:tcPr>
            <w:tcW w:w="3020" w:type="dxa"/>
            <w:noWrap w:val="0"/>
            <w:vAlign w:val="center"/>
          </w:tcPr>
          <w:p>
            <w:pPr>
              <w:spacing w:line="400" w:lineRule="exact"/>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rPr>
                <w:rFonts w:hint="default" w:ascii="Times New Roman" w:hAnsi="Times New Roman" w:cs="Times New Roman"/>
                <w:color w:val="auto"/>
                <w:szCs w:val="21"/>
                <w:highlight w:val="none"/>
              </w:rPr>
            </w:pPr>
          </w:p>
        </w:tc>
        <w:tc>
          <w:tcPr>
            <w:tcW w:w="2700" w:type="dxa"/>
            <w:noWrap w:val="0"/>
            <w:vAlign w:val="center"/>
          </w:tcPr>
          <w:p>
            <w:pPr>
              <w:spacing w:line="400" w:lineRule="exact"/>
              <w:rPr>
                <w:rFonts w:hint="default" w:ascii="Times New Roman" w:hAnsi="Times New Roman" w:cs="Times New Roman"/>
                <w:color w:val="auto"/>
                <w:szCs w:val="21"/>
                <w:highlight w:val="none"/>
              </w:rPr>
            </w:pPr>
          </w:p>
        </w:tc>
        <w:tc>
          <w:tcPr>
            <w:tcW w:w="1260" w:type="dxa"/>
            <w:noWrap w:val="0"/>
            <w:vAlign w:val="center"/>
          </w:tcPr>
          <w:p>
            <w:pPr>
              <w:spacing w:line="400" w:lineRule="exact"/>
              <w:rPr>
                <w:rFonts w:hint="default" w:ascii="Times New Roman" w:hAnsi="Times New Roman" w:cs="Times New Roman"/>
                <w:color w:val="auto"/>
                <w:szCs w:val="21"/>
                <w:highlight w:val="none"/>
              </w:rPr>
            </w:pPr>
          </w:p>
        </w:tc>
        <w:tc>
          <w:tcPr>
            <w:tcW w:w="3020" w:type="dxa"/>
            <w:noWrap w:val="0"/>
            <w:vAlign w:val="center"/>
          </w:tcPr>
          <w:p>
            <w:pPr>
              <w:spacing w:line="400" w:lineRule="exact"/>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rPr>
                <w:rFonts w:hint="default" w:ascii="Times New Roman" w:hAnsi="Times New Roman" w:cs="Times New Roman"/>
                <w:color w:val="auto"/>
                <w:szCs w:val="21"/>
                <w:highlight w:val="none"/>
              </w:rPr>
            </w:pPr>
          </w:p>
        </w:tc>
        <w:tc>
          <w:tcPr>
            <w:tcW w:w="2700" w:type="dxa"/>
            <w:noWrap w:val="0"/>
            <w:vAlign w:val="center"/>
          </w:tcPr>
          <w:p>
            <w:pPr>
              <w:spacing w:line="400" w:lineRule="exact"/>
              <w:rPr>
                <w:rFonts w:hint="default" w:ascii="Times New Roman" w:hAnsi="Times New Roman" w:cs="Times New Roman"/>
                <w:color w:val="auto"/>
                <w:szCs w:val="21"/>
                <w:highlight w:val="none"/>
              </w:rPr>
            </w:pPr>
          </w:p>
        </w:tc>
        <w:tc>
          <w:tcPr>
            <w:tcW w:w="1260" w:type="dxa"/>
            <w:noWrap w:val="0"/>
            <w:vAlign w:val="center"/>
          </w:tcPr>
          <w:p>
            <w:pPr>
              <w:spacing w:line="400" w:lineRule="exact"/>
              <w:rPr>
                <w:rFonts w:hint="default" w:ascii="Times New Roman" w:hAnsi="Times New Roman" w:cs="Times New Roman"/>
                <w:color w:val="auto"/>
                <w:szCs w:val="21"/>
                <w:highlight w:val="none"/>
              </w:rPr>
            </w:pPr>
          </w:p>
        </w:tc>
        <w:tc>
          <w:tcPr>
            <w:tcW w:w="3020" w:type="dxa"/>
            <w:noWrap w:val="0"/>
            <w:vAlign w:val="center"/>
          </w:tcPr>
          <w:p>
            <w:pPr>
              <w:spacing w:line="400" w:lineRule="exact"/>
              <w:rPr>
                <w:rFonts w:hint="default" w:ascii="Times New Roman" w:hAnsi="Times New Roman" w:cs="Times New Roman"/>
                <w:color w:val="auto"/>
                <w:szCs w:val="21"/>
                <w:highlight w:val="none"/>
              </w:rPr>
            </w:pPr>
          </w:p>
        </w:tc>
      </w:tr>
    </w:tbl>
    <w:p>
      <w:pPr>
        <w:pStyle w:val="36"/>
        <w:spacing w:line="360" w:lineRule="auto"/>
        <w:ind w:firstLine="0" w:firstLineChars="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注：1、本表根据第二章《招标需求》一、商务要求表的要求制作。2、若无偏离应在本表空白处醒目地注明“无商务条款偏离，完全响应采购文件要求”的类似字样。</w:t>
      </w:r>
    </w:p>
    <w:p>
      <w:pPr>
        <w:pStyle w:val="36"/>
        <w:spacing w:line="360" w:lineRule="auto"/>
        <w:ind w:firstLine="0" w:firstLineChars="0"/>
        <w:rPr>
          <w:rFonts w:hint="default" w:ascii="Times New Roman" w:hAnsi="Times New Roman" w:cs="Times New Roman"/>
          <w:color w:val="auto"/>
          <w:szCs w:val="21"/>
          <w:highlight w:val="none"/>
          <w:u w:val="single"/>
        </w:rPr>
      </w:pPr>
    </w:p>
    <w:p>
      <w:pPr>
        <w:pStyle w:val="36"/>
        <w:ind w:firstLine="210"/>
        <w:rPr>
          <w:rFonts w:hint="default" w:ascii="Times New Roman" w:hAnsi="Times New Roman" w:cs="Times New Roman"/>
          <w:color w:val="auto"/>
          <w:szCs w:val="21"/>
          <w:highlight w:val="none"/>
          <w:u w:val="single"/>
        </w:rPr>
      </w:pPr>
    </w:p>
    <w:p>
      <w:pPr>
        <w:pStyle w:val="17"/>
        <w:widowControl/>
        <w:spacing w:line="360" w:lineRule="auto"/>
        <w:jc w:val="left"/>
        <w:rPr>
          <w:rFonts w:hint="default" w:ascii="Times New Roman" w:hAnsi="Times New Roman" w:cs="Times New Roman"/>
          <w:color w:val="auto"/>
          <w:sz w:val="21"/>
          <w:szCs w:val="21"/>
          <w:highlight w:val="none"/>
        </w:rPr>
      </w:pPr>
    </w:p>
    <w:p>
      <w:pPr>
        <w:pStyle w:val="17"/>
        <w:widowControl/>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投标人全称（盖公章）：</w:t>
      </w:r>
    </w:p>
    <w:p>
      <w:pPr>
        <w:pStyle w:val="17"/>
        <w:widowControl/>
        <w:spacing w:line="360" w:lineRule="auto"/>
        <w:jc w:val="left"/>
        <w:rPr>
          <w:rFonts w:hint="default" w:ascii="Times New Roman" w:hAnsi="Times New Roman" w:cs="Times New Roman"/>
          <w:color w:val="auto"/>
          <w:sz w:val="21"/>
          <w:szCs w:val="21"/>
          <w:highlight w:val="none"/>
        </w:rPr>
      </w:pPr>
    </w:p>
    <w:p>
      <w:pPr>
        <w:pStyle w:val="17"/>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日期：年  月  日</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br w:type="page"/>
      </w:r>
      <w:r>
        <w:rPr>
          <w:rFonts w:hint="default" w:ascii="Times New Roman" w:hAnsi="Times New Roman" w:cs="Times New Roman"/>
          <w:b/>
          <w:bCs/>
          <w:color w:val="auto"/>
          <w:szCs w:val="21"/>
          <w:highlight w:val="none"/>
        </w:rPr>
        <w:t>格式</w:t>
      </w:r>
      <w:r>
        <w:rPr>
          <w:rFonts w:hint="default" w:ascii="Times New Roman" w:hAnsi="Times New Roman" w:cs="Times New Roman"/>
          <w:b/>
          <w:bCs/>
          <w:color w:val="auto"/>
          <w:szCs w:val="21"/>
          <w:highlight w:val="none"/>
          <w:lang w:val="en-US" w:eastAsia="zh-CN"/>
        </w:rPr>
        <w:t>九</w:t>
      </w:r>
      <w:r>
        <w:rPr>
          <w:rFonts w:hint="default" w:ascii="Times New Roman" w:hAnsi="Times New Roman" w:cs="Times New Roman"/>
          <w:b/>
          <w:bCs/>
          <w:color w:val="auto"/>
          <w:szCs w:val="21"/>
          <w:highlight w:val="none"/>
        </w:rPr>
        <w:t>：</w:t>
      </w:r>
    </w:p>
    <w:p>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服务条款响应（偏离）表</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项目名称：</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项目编号：</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6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noWrap w:val="0"/>
            <w:vAlign w:val="center"/>
          </w:tcPr>
          <w:p>
            <w:pPr>
              <w:spacing w:line="4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3360" w:type="dxa"/>
            <w:noWrap w:val="0"/>
            <w:vAlign w:val="center"/>
          </w:tcPr>
          <w:p>
            <w:pPr>
              <w:spacing w:line="4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招标文件技术要求</w:t>
            </w:r>
          </w:p>
        </w:tc>
        <w:tc>
          <w:tcPr>
            <w:tcW w:w="2908" w:type="dxa"/>
            <w:noWrap w:val="0"/>
            <w:vAlign w:val="center"/>
          </w:tcPr>
          <w:p>
            <w:pPr>
              <w:spacing w:line="4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投标文件对应技术描述</w:t>
            </w:r>
          </w:p>
        </w:tc>
        <w:tc>
          <w:tcPr>
            <w:tcW w:w="1635" w:type="dxa"/>
            <w:noWrap w:val="0"/>
            <w:vAlign w:val="center"/>
          </w:tcPr>
          <w:p>
            <w:pPr>
              <w:spacing w:line="4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noWrap w:val="0"/>
            <w:vAlign w:val="center"/>
          </w:tcPr>
          <w:p>
            <w:pPr>
              <w:spacing w:line="400" w:lineRule="exact"/>
              <w:jc w:val="center"/>
              <w:rPr>
                <w:rFonts w:hint="default" w:ascii="Times New Roman" w:hAnsi="Times New Roman" w:cs="Times New Roman"/>
                <w:color w:val="auto"/>
                <w:szCs w:val="21"/>
                <w:highlight w:val="none"/>
              </w:rPr>
            </w:pPr>
          </w:p>
        </w:tc>
        <w:tc>
          <w:tcPr>
            <w:tcW w:w="3360" w:type="dxa"/>
            <w:noWrap w:val="0"/>
            <w:vAlign w:val="center"/>
          </w:tcPr>
          <w:p>
            <w:pPr>
              <w:spacing w:line="400" w:lineRule="exact"/>
              <w:jc w:val="center"/>
              <w:rPr>
                <w:rFonts w:hint="default" w:ascii="Times New Roman" w:hAnsi="Times New Roman" w:cs="Times New Roman"/>
                <w:color w:val="auto"/>
                <w:szCs w:val="21"/>
                <w:highlight w:val="none"/>
              </w:rPr>
            </w:pPr>
          </w:p>
        </w:tc>
        <w:tc>
          <w:tcPr>
            <w:tcW w:w="2908" w:type="dxa"/>
            <w:noWrap w:val="0"/>
            <w:vAlign w:val="center"/>
          </w:tcPr>
          <w:p>
            <w:pPr>
              <w:spacing w:line="400" w:lineRule="exact"/>
              <w:jc w:val="center"/>
              <w:rPr>
                <w:rFonts w:hint="default" w:ascii="Times New Roman" w:hAnsi="Times New Roman" w:cs="Times New Roman"/>
                <w:color w:val="auto"/>
                <w:szCs w:val="21"/>
                <w:highlight w:val="none"/>
              </w:rPr>
            </w:pPr>
          </w:p>
        </w:tc>
        <w:tc>
          <w:tcPr>
            <w:tcW w:w="1635" w:type="dxa"/>
            <w:noWrap w:val="0"/>
            <w:vAlign w:val="center"/>
          </w:tcPr>
          <w:p>
            <w:pPr>
              <w:spacing w:line="400" w:lineRule="exact"/>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noWrap w:val="0"/>
            <w:vAlign w:val="center"/>
          </w:tcPr>
          <w:p>
            <w:pPr>
              <w:spacing w:line="400" w:lineRule="exact"/>
              <w:jc w:val="center"/>
              <w:rPr>
                <w:rFonts w:hint="default" w:ascii="Times New Roman" w:hAnsi="Times New Roman" w:cs="Times New Roman"/>
                <w:color w:val="auto"/>
                <w:szCs w:val="21"/>
                <w:highlight w:val="none"/>
              </w:rPr>
            </w:pPr>
          </w:p>
        </w:tc>
        <w:tc>
          <w:tcPr>
            <w:tcW w:w="3360" w:type="dxa"/>
            <w:noWrap w:val="0"/>
            <w:vAlign w:val="center"/>
          </w:tcPr>
          <w:p>
            <w:pPr>
              <w:spacing w:line="400" w:lineRule="exact"/>
              <w:jc w:val="center"/>
              <w:rPr>
                <w:rFonts w:hint="default" w:ascii="Times New Roman" w:hAnsi="Times New Roman" w:cs="Times New Roman"/>
                <w:color w:val="auto"/>
                <w:szCs w:val="21"/>
                <w:highlight w:val="none"/>
              </w:rPr>
            </w:pPr>
          </w:p>
        </w:tc>
        <w:tc>
          <w:tcPr>
            <w:tcW w:w="2908" w:type="dxa"/>
            <w:noWrap w:val="0"/>
            <w:vAlign w:val="center"/>
          </w:tcPr>
          <w:p>
            <w:pPr>
              <w:spacing w:line="400" w:lineRule="exact"/>
              <w:jc w:val="center"/>
              <w:rPr>
                <w:rFonts w:hint="default" w:ascii="Times New Roman" w:hAnsi="Times New Roman" w:cs="Times New Roman"/>
                <w:color w:val="auto"/>
                <w:szCs w:val="21"/>
                <w:highlight w:val="none"/>
              </w:rPr>
            </w:pPr>
          </w:p>
        </w:tc>
        <w:tc>
          <w:tcPr>
            <w:tcW w:w="1635" w:type="dxa"/>
            <w:noWrap w:val="0"/>
            <w:vAlign w:val="center"/>
          </w:tcPr>
          <w:p>
            <w:pPr>
              <w:spacing w:line="400" w:lineRule="exact"/>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noWrap w:val="0"/>
            <w:vAlign w:val="center"/>
          </w:tcPr>
          <w:p>
            <w:pPr>
              <w:spacing w:line="400" w:lineRule="exact"/>
              <w:jc w:val="center"/>
              <w:rPr>
                <w:rFonts w:hint="default" w:ascii="Times New Roman" w:hAnsi="Times New Roman" w:cs="Times New Roman"/>
                <w:color w:val="auto"/>
                <w:szCs w:val="21"/>
                <w:highlight w:val="none"/>
              </w:rPr>
            </w:pPr>
          </w:p>
        </w:tc>
        <w:tc>
          <w:tcPr>
            <w:tcW w:w="3360" w:type="dxa"/>
            <w:noWrap w:val="0"/>
            <w:vAlign w:val="center"/>
          </w:tcPr>
          <w:p>
            <w:pPr>
              <w:spacing w:line="400" w:lineRule="exact"/>
              <w:jc w:val="center"/>
              <w:rPr>
                <w:rFonts w:hint="default" w:ascii="Times New Roman" w:hAnsi="Times New Roman" w:cs="Times New Roman"/>
                <w:color w:val="auto"/>
                <w:szCs w:val="21"/>
                <w:highlight w:val="none"/>
              </w:rPr>
            </w:pPr>
          </w:p>
        </w:tc>
        <w:tc>
          <w:tcPr>
            <w:tcW w:w="2908" w:type="dxa"/>
            <w:noWrap w:val="0"/>
            <w:vAlign w:val="center"/>
          </w:tcPr>
          <w:p>
            <w:pPr>
              <w:spacing w:line="400" w:lineRule="exact"/>
              <w:jc w:val="center"/>
              <w:rPr>
                <w:rFonts w:hint="default" w:ascii="Times New Roman" w:hAnsi="Times New Roman" w:cs="Times New Roman"/>
                <w:color w:val="auto"/>
                <w:szCs w:val="21"/>
                <w:highlight w:val="none"/>
              </w:rPr>
            </w:pPr>
          </w:p>
        </w:tc>
        <w:tc>
          <w:tcPr>
            <w:tcW w:w="1635" w:type="dxa"/>
            <w:noWrap w:val="0"/>
            <w:vAlign w:val="center"/>
          </w:tcPr>
          <w:p>
            <w:pPr>
              <w:spacing w:line="400" w:lineRule="exact"/>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noWrap w:val="0"/>
            <w:vAlign w:val="center"/>
          </w:tcPr>
          <w:p>
            <w:pPr>
              <w:spacing w:line="400" w:lineRule="exact"/>
              <w:jc w:val="center"/>
              <w:rPr>
                <w:rFonts w:hint="default" w:ascii="Times New Roman" w:hAnsi="Times New Roman" w:cs="Times New Roman"/>
                <w:color w:val="auto"/>
                <w:szCs w:val="21"/>
                <w:highlight w:val="none"/>
              </w:rPr>
            </w:pPr>
          </w:p>
        </w:tc>
        <w:tc>
          <w:tcPr>
            <w:tcW w:w="3360" w:type="dxa"/>
            <w:noWrap w:val="0"/>
            <w:vAlign w:val="center"/>
          </w:tcPr>
          <w:p>
            <w:pPr>
              <w:spacing w:line="400" w:lineRule="exact"/>
              <w:jc w:val="center"/>
              <w:rPr>
                <w:rFonts w:hint="default" w:ascii="Times New Roman" w:hAnsi="Times New Roman" w:cs="Times New Roman"/>
                <w:color w:val="auto"/>
                <w:szCs w:val="21"/>
                <w:highlight w:val="none"/>
              </w:rPr>
            </w:pPr>
          </w:p>
        </w:tc>
        <w:tc>
          <w:tcPr>
            <w:tcW w:w="2908" w:type="dxa"/>
            <w:noWrap w:val="0"/>
            <w:vAlign w:val="center"/>
          </w:tcPr>
          <w:p>
            <w:pPr>
              <w:spacing w:line="400" w:lineRule="exact"/>
              <w:jc w:val="center"/>
              <w:rPr>
                <w:rFonts w:hint="default" w:ascii="Times New Roman" w:hAnsi="Times New Roman" w:cs="Times New Roman"/>
                <w:color w:val="auto"/>
                <w:szCs w:val="21"/>
                <w:highlight w:val="none"/>
              </w:rPr>
            </w:pPr>
          </w:p>
        </w:tc>
        <w:tc>
          <w:tcPr>
            <w:tcW w:w="1635" w:type="dxa"/>
            <w:noWrap w:val="0"/>
            <w:vAlign w:val="center"/>
          </w:tcPr>
          <w:p>
            <w:pPr>
              <w:spacing w:line="400" w:lineRule="exact"/>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noWrap w:val="0"/>
            <w:vAlign w:val="center"/>
          </w:tcPr>
          <w:p>
            <w:pPr>
              <w:spacing w:line="400" w:lineRule="exact"/>
              <w:jc w:val="center"/>
              <w:rPr>
                <w:rFonts w:hint="default" w:ascii="Times New Roman" w:hAnsi="Times New Roman" w:cs="Times New Roman"/>
                <w:color w:val="auto"/>
                <w:szCs w:val="21"/>
                <w:highlight w:val="none"/>
              </w:rPr>
            </w:pPr>
          </w:p>
        </w:tc>
        <w:tc>
          <w:tcPr>
            <w:tcW w:w="3360" w:type="dxa"/>
            <w:noWrap w:val="0"/>
            <w:vAlign w:val="center"/>
          </w:tcPr>
          <w:p>
            <w:pPr>
              <w:spacing w:line="400" w:lineRule="exact"/>
              <w:jc w:val="center"/>
              <w:rPr>
                <w:rFonts w:hint="default" w:ascii="Times New Roman" w:hAnsi="Times New Roman" w:cs="Times New Roman"/>
                <w:color w:val="auto"/>
                <w:szCs w:val="21"/>
                <w:highlight w:val="none"/>
              </w:rPr>
            </w:pPr>
          </w:p>
        </w:tc>
        <w:tc>
          <w:tcPr>
            <w:tcW w:w="2908" w:type="dxa"/>
            <w:noWrap w:val="0"/>
            <w:vAlign w:val="center"/>
          </w:tcPr>
          <w:p>
            <w:pPr>
              <w:spacing w:line="400" w:lineRule="exact"/>
              <w:jc w:val="center"/>
              <w:rPr>
                <w:rFonts w:hint="default" w:ascii="Times New Roman" w:hAnsi="Times New Roman" w:cs="Times New Roman"/>
                <w:color w:val="auto"/>
                <w:szCs w:val="21"/>
                <w:highlight w:val="none"/>
              </w:rPr>
            </w:pPr>
          </w:p>
        </w:tc>
        <w:tc>
          <w:tcPr>
            <w:tcW w:w="1635" w:type="dxa"/>
            <w:noWrap w:val="0"/>
            <w:vAlign w:val="center"/>
          </w:tcPr>
          <w:p>
            <w:pPr>
              <w:spacing w:line="400" w:lineRule="exact"/>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noWrap w:val="0"/>
            <w:vAlign w:val="center"/>
          </w:tcPr>
          <w:p>
            <w:pPr>
              <w:spacing w:line="400" w:lineRule="exact"/>
              <w:jc w:val="center"/>
              <w:rPr>
                <w:rFonts w:hint="default" w:ascii="Times New Roman" w:hAnsi="Times New Roman" w:cs="Times New Roman"/>
                <w:color w:val="auto"/>
                <w:szCs w:val="21"/>
                <w:highlight w:val="none"/>
              </w:rPr>
            </w:pPr>
          </w:p>
        </w:tc>
        <w:tc>
          <w:tcPr>
            <w:tcW w:w="3360" w:type="dxa"/>
            <w:noWrap w:val="0"/>
            <w:vAlign w:val="center"/>
          </w:tcPr>
          <w:p>
            <w:pPr>
              <w:spacing w:line="400" w:lineRule="exact"/>
              <w:jc w:val="center"/>
              <w:rPr>
                <w:rFonts w:hint="default" w:ascii="Times New Roman" w:hAnsi="Times New Roman" w:cs="Times New Roman"/>
                <w:color w:val="auto"/>
                <w:szCs w:val="21"/>
                <w:highlight w:val="none"/>
              </w:rPr>
            </w:pPr>
          </w:p>
        </w:tc>
        <w:tc>
          <w:tcPr>
            <w:tcW w:w="2908" w:type="dxa"/>
            <w:noWrap w:val="0"/>
            <w:vAlign w:val="center"/>
          </w:tcPr>
          <w:p>
            <w:pPr>
              <w:spacing w:line="400" w:lineRule="exact"/>
              <w:jc w:val="center"/>
              <w:rPr>
                <w:rFonts w:hint="default" w:ascii="Times New Roman" w:hAnsi="Times New Roman" w:cs="Times New Roman"/>
                <w:color w:val="auto"/>
                <w:szCs w:val="21"/>
                <w:highlight w:val="none"/>
              </w:rPr>
            </w:pPr>
          </w:p>
        </w:tc>
        <w:tc>
          <w:tcPr>
            <w:tcW w:w="1635" w:type="dxa"/>
            <w:noWrap w:val="0"/>
            <w:vAlign w:val="center"/>
          </w:tcPr>
          <w:p>
            <w:pPr>
              <w:spacing w:line="400" w:lineRule="exact"/>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noWrap w:val="0"/>
            <w:vAlign w:val="center"/>
          </w:tcPr>
          <w:p>
            <w:pPr>
              <w:spacing w:line="400" w:lineRule="exact"/>
              <w:jc w:val="center"/>
              <w:rPr>
                <w:rFonts w:hint="default" w:ascii="Times New Roman" w:hAnsi="Times New Roman" w:cs="Times New Roman"/>
                <w:color w:val="auto"/>
                <w:szCs w:val="21"/>
                <w:highlight w:val="none"/>
              </w:rPr>
            </w:pPr>
          </w:p>
        </w:tc>
        <w:tc>
          <w:tcPr>
            <w:tcW w:w="3360" w:type="dxa"/>
            <w:noWrap w:val="0"/>
            <w:vAlign w:val="center"/>
          </w:tcPr>
          <w:p>
            <w:pPr>
              <w:spacing w:line="400" w:lineRule="exact"/>
              <w:jc w:val="center"/>
              <w:rPr>
                <w:rFonts w:hint="default" w:ascii="Times New Roman" w:hAnsi="Times New Roman" w:cs="Times New Roman"/>
                <w:color w:val="auto"/>
                <w:szCs w:val="21"/>
                <w:highlight w:val="none"/>
              </w:rPr>
            </w:pPr>
          </w:p>
        </w:tc>
        <w:tc>
          <w:tcPr>
            <w:tcW w:w="2908" w:type="dxa"/>
            <w:noWrap w:val="0"/>
            <w:vAlign w:val="center"/>
          </w:tcPr>
          <w:p>
            <w:pPr>
              <w:spacing w:line="400" w:lineRule="exact"/>
              <w:jc w:val="center"/>
              <w:rPr>
                <w:rFonts w:hint="default" w:ascii="Times New Roman" w:hAnsi="Times New Roman" w:cs="Times New Roman"/>
                <w:color w:val="auto"/>
                <w:szCs w:val="21"/>
                <w:highlight w:val="none"/>
              </w:rPr>
            </w:pPr>
          </w:p>
        </w:tc>
        <w:tc>
          <w:tcPr>
            <w:tcW w:w="1635" w:type="dxa"/>
            <w:noWrap w:val="0"/>
            <w:vAlign w:val="center"/>
          </w:tcPr>
          <w:p>
            <w:pPr>
              <w:spacing w:line="400" w:lineRule="exact"/>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noWrap w:val="0"/>
            <w:vAlign w:val="center"/>
          </w:tcPr>
          <w:p>
            <w:pPr>
              <w:spacing w:line="400" w:lineRule="exact"/>
              <w:jc w:val="center"/>
              <w:rPr>
                <w:rFonts w:hint="default" w:ascii="Times New Roman" w:hAnsi="Times New Roman" w:cs="Times New Roman"/>
                <w:color w:val="auto"/>
                <w:szCs w:val="21"/>
                <w:highlight w:val="none"/>
              </w:rPr>
            </w:pPr>
          </w:p>
        </w:tc>
        <w:tc>
          <w:tcPr>
            <w:tcW w:w="3360" w:type="dxa"/>
            <w:noWrap w:val="0"/>
            <w:vAlign w:val="center"/>
          </w:tcPr>
          <w:p>
            <w:pPr>
              <w:spacing w:line="400" w:lineRule="exact"/>
              <w:jc w:val="center"/>
              <w:rPr>
                <w:rFonts w:hint="default" w:ascii="Times New Roman" w:hAnsi="Times New Roman" w:cs="Times New Roman"/>
                <w:color w:val="auto"/>
                <w:szCs w:val="21"/>
                <w:highlight w:val="none"/>
              </w:rPr>
            </w:pPr>
          </w:p>
        </w:tc>
        <w:tc>
          <w:tcPr>
            <w:tcW w:w="2908" w:type="dxa"/>
            <w:noWrap w:val="0"/>
            <w:vAlign w:val="center"/>
          </w:tcPr>
          <w:p>
            <w:pPr>
              <w:spacing w:line="400" w:lineRule="exact"/>
              <w:jc w:val="center"/>
              <w:rPr>
                <w:rFonts w:hint="default" w:ascii="Times New Roman" w:hAnsi="Times New Roman" w:cs="Times New Roman"/>
                <w:color w:val="auto"/>
                <w:szCs w:val="21"/>
                <w:highlight w:val="none"/>
              </w:rPr>
            </w:pPr>
          </w:p>
        </w:tc>
        <w:tc>
          <w:tcPr>
            <w:tcW w:w="1635" w:type="dxa"/>
            <w:noWrap w:val="0"/>
            <w:vAlign w:val="center"/>
          </w:tcPr>
          <w:p>
            <w:pPr>
              <w:spacing w:line="400" w:lineRule="exact"/>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noWrap w:val="0"/>
            <w:vAlign w:val="center"/>
          </w:tcPr>
          <w:p>
            <w:pPr>
              <w:spacing w:line="400" w:lineRule="exact"/>
              <w:jc w:val="center"/>
              <w:rPr>
                <w:rFonts w:hint="default" w:ascii="Times New Roman" w:hAnsi="Times New Roman" w:cs="Times New Roman"/>
                <w:color w:val="auto"/>
                <w:szCs w:val="21"/>
                <w:highlight w:val="none"/>
              </w:rPr>
            </w:pPr>
          </w:p>
        </w:tc>
        <w:tc>
          <w:tcPr>
            <w:tcW w:w="3360" w:type="dxa"/>
            <w:noWrap w:val="0"/>
            <w:vAlign w:val="center"/>
          </w:tcPr>
          <w:p>
            <w:pPr>
              <w:spacing w:line="400" w:lineRule="exact"/>
              <w:jc w:val="center"/>
              <w:rPr>
                <w:rFonts w:hint="default" w:ascii="Times New Roman" w:hAnsi="Times New Roman" w:cs="Times New Roman"/>
                <w:color w:val="auto"/>
                <w:szCs w:val="21"/>
                <w:highlight w:val="none"/>
              </w:rPr>
            </w:pPr>
          </w:p>
        </w:tc>
        <w:tc>
          <w:tcPr>
            <w:tcW w:w="2908" w:type="dxa"/>
            <w:noWrap w:val="0"/>
            <w:vAlign w:val="center"/>
          </w:tcPr>
          <w:p>
            <w:pPr>
              <w:spacing w:line="400" w:lineRule="exact"/>
              <w:jc w:val="center"/>
              <w:rPr>
                <w:rFonts w:hint="default" w:ascii="Times New Roman" w:hAnsi="Times New Roman" w:cs="Times New Roman"/>
                <w:color w:val="auto"/>
                <w:szCs w:val="21"/>
                <w:highlight w:val="none"/>
              </w:rPr>
            </w:pPr>
          </w:p>
        </w:tc>
        <w:tc>
          <w:tcPr>
            <w:tcW w:w="1635" w:type="dxa"/>
            <w:noWrap w:val="0"/>
            <w:vAlign w:val="center"/>
          </w:tcPr>
          <w:p>
            <w:pPr>
              <w:spacing w:line="400" w:lineRule="exact"/>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noWrap w:val="0"/>
            <w:vAlign w:val="center"/>
          </w:tcPr>
          <w:p>
            <w:pPr>
              <w:spacing w:line="400" w:lineRule="exact"/>
              <w:jc w:val="center"/>
              <w:rPr>
                <w:rFonts w:hint="default" w:ascii="Times New Roman" w:hAnsi="Times New Roman" w:cs="Times New Roman"/>
                <w:color w:val="auto"/>
                <w:szCs w:val="21"/>
                <w:highlight w:val="none"/>
              </w:rPr>
            </w:pPr>
          </w:p>
        </w:tc>
        <w:tc>
          <w:tcPr>
            <w:tcW w:w="3360" w:type="dxa"/>
            <w:noWrap w:val="0"/>
            <w:vAlign w:val="center"/>
          </w:tcPr>
          <w:p>
            <w:pPr>
              <w:spacing w:line="400" w:lineRule="exact"/>
              <w:jc w:val="center"/>
              <w:rPr>
                <w:rFonts w:hint="default" w:ascii="Times New Roman" w:hAnsi="Times New Roman" w:cs="Times New Roman"/>
                <w:color w:val="auto"/>
                <w:szCs w:val="21"/>
                <w:highlight w:val="none"/>
              </w:rPr>
            </w:pPr>
          </w:p>
        </w:tc>
        <w:tc>
          <w:tcPr>
            <w:tcW w:w="2908" w:type="dxa"/>
            <w:noWrap w:val="0"/>
            <w:vAlign w:val="center"/>
          </w:tcPr>
          <w:p>
            <w:pPr>
              <w:spacing w:line="400" w:lineRule="exact"/>
              <w:jc w:val="center"/>
              <w:rPr>
                <w:rFonts w:hint="default" w:ascii="Times New Roman" w:hAnsi="Times New Roman" w:cs="Times New Roman"/>
                <w:color w:val="auto"/>
                <w:szCs w:val="21"/>
                <w:highlight w:val="none"/>
              </w:rPr>
            </w:pPr>
          </w:p>
        </w:tc>
        <w:tc>
          <w:tcPr>
            <w:tcW w:w="1635" w:type="dxa"/>
            <w:noWrap w:val="0"/>
            <w:vAlign w:val="center"/>
          </w:tcPr>
          <w:p>
            <w:pPr>
              <w:spacing w:line="400" w:lineRule="exact"/>
              <w:jc w:val="center"/>
              <w:rPr>
                <w:rFonts w:hint="default" w:ascii="Times New Roman" w:hAnsi="Times New Roman" w:cs="Times New Roman"/>
                <w:color w:val="auto"/>
                <w:szCs w:val="21"/>
                <w:highlight w:val="none"/>
              </w:rPr>
            </w:pPr>
          </w:p>
        </w:tc>
      </w:tr>
    </w:tbl>
    <w:p>
      <w:pPr>
        <w:pStyle w:val="36"/>
        <w:spacing w:line="360" w:lineRule="auto"/>
        <w:ind w:firstLine="0" w:firstLineChars="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注：1、本表根据第二章《招标需求》二、详细采购需求的要求制作。2、若无偏离应在本表空白处醒目地注明“无服务条款偏离，完全响应采购文件要求”的类似字样。</w:t>
      </w:r>
    </w:p>
    <w:p>
      <w:pPr>
        <w:spacing w:line="360" w:lineRule="auto"/>
        <w:ind w:firstLine="422" w:firstLineChars="200"/>
        <w:rPr>
          <w:rFonts w:hint="default" w:ascii="Times New Roman" w:hAnsi="Times New Roman" w:cs="Times New Roman"/>
          <w:b/>
          <w:bCs/>
          <w:color w:val="auto"/>
          <w:szCs w:val="21"/>
          <w:highlight w:val="none"/>
        </w:rPr>
      </w:pPr>
    </w:p>
    <w:p>
      <w:pPr>
        <w:spacing w:line="360" w:lineRule="auto"/>
        <w:rPr>
          <w:rFonts w:hint="default" w:ascii="Times New Roman" w:hAnsi="Times New Roman" w:cs="Times New Roman"/>
          <w:color w:val="auto"/>
          <w:szCs w:val="21"/>
          <w:highlight w:val="none"/>
        </w:rPr>
      </w:pPr>
    </w:p>
    <w:p>
      <w:pPr>
        <w:pStyle w:val="16"/>
        <w:rPr>
          <w:rFonts w:hint="default" w:ascii="Times New Roman" w:hAnsi="Times New Roman" w:cs="Times New Roman"/>
          <w:color w:val="auto"/>
          <w:highlight w:val="none"/>
        </w:rPr>
      </w:pPr>
    </w:p>
    <w:p>
      <w:pPr>
        <w:pStyle w:val="17"/>
        <w:widowControl/>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投标人全称（盖公章）：</w:t>
      </w:r>
    </w:p>
    <w:p>
      <w:pPr>
        <w:pStyle w:val="17"/>
        <w:widowControl/>
        <w:spacing w:line="360" w:lineRule="auto"/>
        <w:jc w:val="left"/>
        <w:rPr>
          <w:rFonts w:hint="default" w:ascii="Times New Roman" w:hAnsi="Times New Roman" w:cs="Times New Roman"/>
          <w:color w:val="auto"/>
          <w:sz w:val="21"/>
          <w:szCs w:val="21"/>
          <w:highlight w:val="none"/>
        </w:rPr>
      </w:pPr>
    </w:p>
    <w:p>
      <w:pPr>
        <w:pStyle w:val="17"/>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日期：年  月  日</w:t>
      </w:r>
    </w:p>
    <w:p>
      <w:pPr>
        <w:pStyle w:val="17"/>
        <w:spacing w:line="360" w:lineRule="auto"/>
        <w:rPr>
          <w:rFonts w:hint="default" w:ascii="Times New Roman" w:hAnsi="Times New Roman" w:cs="Times New Roman"/>
          <w:color w:val="auto"/>
          <w:sz w:val="21"/>
          <w:szCs w:val="21"/>
          <w:highlight w:val="none"/>
        </w:rPr>
      </w:pPr>
    </w:p>
    <w:p>
      <w:pPr>
        <w:pStyle w:val="17"/>
        <w:spacing w:line="360" w:lineRule="auto"/>
        <w:ind w:firstLine="0"/>
        <w:rPr>
          <w:rFonts w:hint="default" w:ascii="Times New Roman" w:hAnsi="Times New Roman" w:cs="Times New Roman"/>
          <w:b/>
          <w:color w:val="auto"/>
          <w:sz w:val="21"/>
          <w:szCs w:val="21"/>
          <w:highlight w:val="none"/>
        </w:rPr>
      </w:pPr>
      <w:r>
        <w:rPr>
          <w:rFonts w:hint="default" w:ascii="Times New Roman" w:hAnsi="Times New Roman" w:cs="Times New Roman"/>
          <w:color w:val="auto"/>
          <w:szCs w:val="21"/>
          <w:highlight w:val="none"/>
        </w:rPr>
        <w:br w:type="page"/>
      </w:r>
      <w:r>
        <w:rPr>
          <w:rFonts w:hint="default" w:ascii="Times New Roman" w:hAnsi="Times New Roman" w:cs="Times New Roman"/>
          <w:b/>
          <w:color w:val="auto"/>
          <w:sz w:val="21"/>
          <w:szCs w:val="21"/>
          <w:highlight w:val="none"/>
        </w:rPr>
        <w:t>格式十：</w:t>
      </w:r>
    </w:p>
    <w:p>
      <w:pPr>
        <w:pStyle w:val="17"/>
        <w:spacing w:line="360" w:lineRule="auto"/>
        <w:ind w:firstLine="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中小企业声明函</w:t>
      </w:r>
    </w:p>
    <w:p>
      <w:pPr>
        <w:spacing w:line="360" w:lineRule="auto"/>
        <w:rPr>
          <w:rFonts w:hint="default" w:ascii="Times New Roman" w:hAnsi="Times New Roman" w:cs="Times New Roman"/>
          <w:b/>
          <w:color w:val="auto"/>
          <w:spacing w:val="6"/>
          <w:szCs w:val="21"/>
          <w:highlight w:val="none"/>
        </w:rPr>
      </w:pPr>
    </w:p>
    <w:p>
      <w:pPr>
        <w:spacing w:line="5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本公司（联合体）郑重声明，根据《政府采购促进中小企业发展管理办法》（财库【2020】46 号）的规定，本公司（联合体）参加</w:t>
      </w:r>
      <w:r>
        <w:rPr>
          <w:rFonts w:hint="default" w:ascii="Times New Roman" w:hAnsi="Times New Roman" w:cs="Times New Roman"/>
          <w:color w:val="auto"/>
          <w:szCs w:val="21"/>
          <w:highlight w:val="none"/>
          <w:u w:val="single"/>
        </w:rPr>
        <w:t>（单位名称）</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u w:val="single"/>
        </w:rPr>
        <w:t>（项目名称）</w:t>
      </w:r>
      <w:r>
        <w:rPr>
          <w:rFonts w:hint="default" w:ascii="Times New Roman" w:hAnsi="Times New Roman" w:cs="Times New Roman"/>
          <w:color w:val="auto"/>
          <w:szCs w:val="21"/>
          <w:highlight w:val="none"/>
        </w:rPr>
        <w:t>采购活动，服务全部由符合政策要求的中小企业</w:t>
      </w:r>
      <w:r>
        <w:rPr>
          <w:rFonts w:hint="default" w:ascii="Times New Roman" w:hAnsi="Times New Roman" w:cs="Times New Roman"/>
          <w:color w:val="auto"/>
          <w:szCs w:val="21"/>
          <w:highlight w:val="none"/>
          <w:lang w:val="en-US" w:eastAsia="zh-CN"/>
        </w:rPr>
        <w:t>承接</w:t>
      </w:r>
      <w:r>
        <w:rPr>
          <w:rFonts w:hint="default" w:ascii="Times New Roman" w:hAnsi="Times New Roman" w:cs="Times New Roman"/>
          <w:color w:val="auto"/>
          <w:szCs w:val="21"/>
          <w:highlight w:val="none"/>
        </w:rPr>
        <w:t>。相关企业（含联合体中的中小企业、签订分包意向协议的中小企业）的具体情况如下：</w:t>
      </w:r>
    </w:p>
    <w:p>
      <w:pPr>
        <w:spacing w:line="5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cs="Times New Roman"/>
          <w:color w:val="auto"/>
          <w:szCs w:val="21"/>
          <w:highlight w:val="none"/>
          <w:u w:val="single"/>
          <w:shd w:val="clear" w:color="auto" w:fill="FFFFFF"/>
          <w:lang w:eastAsia="zh-CN"/>
        </w:rPr>
        <w:t>2024年城乡文明程度指数第三方专业测评服务项目</w:t>
      </w:r>
      <w:r>
        <w:rPr>
          <w:rFonts w:hint="default" w:ascii="Times New Roman" w:hAnsi="Times New Roman" w:cs="Times New Roman"/>
          <w:color w:val="auto"/>
          <w:szCs w:val="21"/>
          <w:highlight w:val="none"/>
        </w:rPr>
        <w:t>，属于</w:t>
      </w:r>
      <w:r>
        <w:rPr>
          <w:rFonts w:hint="default" w:ascii="Times New Roman" w:hAnsi="Times New Roman" w:eastAsia="宋体" w:cs="Times New Roman"/>
          <w:b/>
          <w:bCs/>
          <w:color w:val="auto"/>
          <w:sz w:val="21"/>
          <w:highlight w:val="none"/>
          <w:u w:val="single"/>
        </w:rPr>
        <w:t>其他未列明行业</w:t>
      </w:r>
      <w:r>
        <w:rPr>
          <w:rFonts w:hint="default" w:ascii="Times New Roman" w:hAnsi="Times New Roman" w:cs="Times New Roman"/>
          <w:color w:val="auto"/>
          <w:szCs w:val="21"/>
          <w:highlight w:val="none"/>
        </w:rPr>
        <w:t>；承接企业为</w:t>
      </w:r>
      <w:r>
        <w:rPr>
          <w:rFonts w:hint="default" w:ascii="Times New Roman" w:hAnsi="Times New Roman" w:cs="Times New Roman"/>
          <w:i/>
          <w:color w:val="auto"/>
          <w:szCs w:val="21"/>
          <w:highlight w:val="none"/>
          <w:u w:val="single"/>
        </w:rPr>
        <w:t>（企业名称）</w:t>
      </w:r>
      <w:r>
        <w:rPr>
          <w:rFonts w:hint="default" w:ascii="Times New Roman" w:hAnsi="Times New Roman" w:cs="Times New Roman"/>
          <w:color w:val="auto"/>
          <w:szCs w:val="21"/>
          <w:highlight w:val="none"/>
        </w:rPr>
        <w:t>，</w:t>
      </w:r>
      <w:r>
        <w:rPr>
          <w:rFonts w:hint="default" w:ascii="Times New Roman" w:hAnsi="Times New Roman" w:cs="Times New Roman"/>
          <w:color w:val="auto"/>
          <w:kern w:val="0"/>
          <w:szCs w:val="21"/>
          <w:highlight w:val="none"/>
          <w:lang w:bidi="ar"/>
        </w:rPr>
        <w:t>从业人员</w:t>
      </w:r>
      <w:r>
        <w:rPr>
          <w:rFonts w:hint="default" w:ascii="Times New Roman" w:hAnsi="Times New Roman" w:cs="Times New Roman"/>
          <w:color w:val="auto"/>
          <w:kern w:val="0"/>
          <w:szCs w:val="21"/>
          <w:highlight w:val="none"/>
          <w:u w:val="single"/>
          <w:lang w:bidi="ar"/>
        </w:rPr>
        <w:t xml:space="preserve">    </w:t>
      </w:r>
      <w:r>
        <w:rPr>
          <w:rFonts w:hint="default" w:ascii="Times New Roman" w:hAnsi="Times New Roman" w:cs="Times New Roman"/>
          <w:color w:val="auto"/>
          <w:kern w:val="0"/>
          <w:szCs w:val="21"/>
          <w:highlight w:val="none"/>
          <w:lang w:bidi="ar"/>
        </w:rPr>
        <w:t>人，营业收入为</w:t>
      </w:r>
      <w:r>
        <w:rPr>
          <w:rFonts w:hint="default" w:ascii="Times New Roman" w:hAnsi="Times New Roman" w:cs="Times New Roman"/>
          <w:color w:val="auto"/>
          <w:kern w:val="0"/>
          <w:szCs w:val="21"/>
          <w:highlight w:val="none"/>
          <w:u w:val="single"/>
          <w:lang w:bidi="ar"/>
        </w:rPr>
        <w:t xml:space="preserve">    </w:t>
      </w:r>
      <w:r>
        <w:rPr>
          <w:rFonts w:hint="default" w:ascii="Times New Roman" w:hAnsi="Times New Roman" w:cs="Times New Roman"/>
          <w:color w:val="auto"/>
          <w:kern w:val="0"/>
          <w:szCs w:val="21"/>
          <w:highlight w:val="none"/>
          <w:lang w:bidi="ar"/>
        </w:rPr>
        <w:t>万元，资产总额为</w:t>
      </w:r>
      <w:r>
        <w:rPr>
          <w:rFonts w:hint="default" w:ascii="Times New Roman" w:hAnsi="Times New Roman" w:cs="Times New Roman"/>
          <w:color w:val="auto"/>
          <w:kern w:val="0"/>
          <w:szCs w:val="21"/>
          <w:highlight w:val="none"/>
          <w:u w:val="single"/>
          <w:lang w:bidi="ar"/>
        </w:rPr>
        <w:t xml:space="preserve">    </w:t>
      </w:r>
      <w:r>
        <w:rPr>
          <w:rFonts w:hint="default" w:ascii="Times New Roman" w:hAnsi="Times New Roman" w:cs="Times New Roman"/>
          <w:color w:val="auto"/>
          <w:kern w:val="0"/>
          <w:szCs w:val="21"/>
          <w:highlight w:val="none"/>
          <w:lang w:bidi="ar"/>
        </w:rPr>
        <w:t>万元</w:t>
      </w:r>
      <w:r>
        <w:rPr>
          <w:rFonts w:hint="default" w:ascii="Times New Roman" w:hAnsi="Times New Roman" w:cs="Times New Roman"/>
          <w:color w:val="auto"/>
          <w:kern w:val="0"/>
          <w:szCs w:val="21"/>
          <w:highlight w:val="none"/>
          <w:vertAlign w:val="superscript"/>
          <w:lang w:bidi="ar"/>
        </w:rPr>
        <w:t>1</w:t>
      </w:r>
      <w:r>
        <w:rPr>
          <w:rFonts w:hint="default" w:ascii="Times New Roman" w:hAnsi="Times New Roman" w:cs="Times New Roman"/>
          <w:color w:val="auto"/>
          <w:kern w:val="0"/>
          <w:szCs w:val="21"/>
          <w:highlight w:val="none"/>
          <w:lang w:bidi="ar"/>
        </w:rPr>
        <w:t>，属于</w:t>
      </w:r>
      <w:r>
        <w:rPr>
          <w:rFonts w:hint="default" w:ascii="Times New Roman" w:hAnsi="Times New Roman" w:cs="Times New Roman"/>
          <w:i/>
          <w:color w:val="auto"/>
          <w:kern w:val="0"/>
          <w:szCs w:val="21"/>
          <w:highlight w:val="none"/>
          <w:u w:val="single"/>
          <w:lang w:bidi="ar"/>
        </w:rPr>
        <w:t>（中型企业、小型企业、微型企业）</w:t>
      </w:r>
      <w:r>
        <w:rPr>
          <w:rFonts w:hint="default" w:ascii="Times New Roman" w:hAnsi="Times New Roman" w:cs="Times New Roman"/>
          <w:color w:val="auto"/>
          <w:kern w:val="0"/>
          <w:szCs w:val="21"/>
          <w:highlight w:val="none"/>
          <w:lang w:bidi="ar"/>
        </w:rPr>
        <w:t>；</w:t>
      </w:r>
    </w:p>
    <w:p>
      <w:pPr>
        <w:spacing w:line="500" w:lineRule="exact"/>
        <w:ind w:firstLine="420" w:firstLineChars="200"/>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szCs w:val="21"/>
          <w:highlight w:val="none"/>
        </w:rPr>
        <w:t>2.</w:t>
      </w:r>
      <w:r>
        <w:rPr>
          <w:rFonts w:hint="default" w:ascii="Times New Roman" w:hAnsi="Times New Roman" w:cs="Times New Roman"/>
          <w:i/>
          <w:color w:val="auto"/>
          <w:szCs w:val="21"/>
          <w:highlight w:val="none"/>
          <w:u w:val="single"/>
        </w:rPr>
        <w:t xml:space="preserve"> </w:t>
      </w:r>
      <w:r>
        <w:rPr>
          <w:rFonts w:hint="eastAsia" w:cs="Times New Roman"/>
          <w:color w:val="auto"/>
          <w:szCs w:val="21"/>
          <w:highlight w:val="none"/>
          <w:u w:val="single"/>
          <w:shd w:val="clear" w:color="auto" w:fill="FFFFFF"/>
          <w:lang w:eastAsia="zh-CN"/>
        </w:rPr>
        <w:t>2024年城乡文明程度指数第三方专业测评服务项目</w:t>
      </w:r>
      <w:r>
        <w:rPr>
          <w:rFonts w:hint="default" w:ascii="Times New Roman" w:hAnsi="Times New Roman" w:cs="Times New Roman"/>
          <w:color w:val="auto"/>
          <w:szCs w:val="21"/>
          <w:highlight w:val="none"/>
        </w:rPr>
        <w:t>，属于</w:t>
      </w:r>
      <w:r>
        <w:rPr>
          <w:rFonts w:hint="default" w:ascii="Times New Roman" w:hAnsi="Times New Roman" w:eastAsia="宋体" w:cs="Times New Roman"/>
          <w:b/>
          <w:bCs/>
          <w:color w:val="auto"/>
          <w:sz w:val="21"/>
          <w:highlight w:val="none"/>
          <w:u w:val="single"/>
        </w:rPr>
        <w:t>其他未列明行业</w:t>
      </w:r>
      <w:r>
        <w:rPr>
          <w:rFonts w:hint="default" w:ascii="Times New Roman" w:hAnsi="Times New Roman" w:cs="Times New Roman"/>
          <w:color w:val="auto"/>
          <w:szCs w:val="21"/>
          <w:highlight w:val="none"/>
        </w:rPr>
        <w:t>；承接企业为</w:t>
      </w:r>
      <w:r>
        <w:rPr>
          <w:rFonts w:hint="default" w:ascii="Times New Roman" w:hAnsi="Times New Roman" w:cs="Times New Roman"/>
          <w:i/>
          <w:color w:val="auto"/>
          <w:szCs w:val="21"/>
          <w:highlight w:val="none"/>
          <w:u w:val="single"/>
        </w:rPr>
        <w:t>（企业名称）</w:t>
      </w:r>
      <w:r>
        <w:rPr>
          <w:rFonts w:hint="default" w:ascii="Times New Roman" w:hAnsi="Times New Roman" w:cs="Times New Roman"/>
          <w:color w:val="auto"/>
          <w:szCs w:val="21"/>
          <w:highlight w:val="none"/>
        </w:rPr>
        <w:t>，</w:t>
      </w:r>
      <w:r>
        <w:rPr>
          <w:rFonts w:hint="default" w:ascii="Times New Roman" w:hAnsi="Times New Roman" w:cs="Times New Roman"/>
          <w:color w:val="auto"/>
          <w:kern w:val="0"/>
          <w:szCs w:val="21"/>
          <w:highlight w:val="none"/>
          <w:lang w:bidi="ar"/>
        </w:rPr>
        <w:t>从业人员</w:t>
      </w:r>
      <w:r>
        <w:rPr>
          <w:rFonts w:hint="default" w:ascii="Times New Roman" w:hAnsi="Times New Roman" w:cs="Times New Roman"/>
          <w:color w:val="auto"/>
          <w:kern w:val="0"/>
          <w:szCs w:val="21"/>
          <w:highlight w:val="none"/>
          <w:u w:val="single"/>
          <w:lang w:bidi="ar"/>
        </w:rPr>
        <w:t xml:space="preserve">    </w:t>
      </w:r>
      <w:r>
        <w:rPr>
          <w:rFonts w:hint="default" w:ascii="Times New Roman" w:hAnsi="Times New Roman" w:cs="Times New Roman"/>
          <w:color w:val="auto"/>
          <w:kern w:val="0"/>
          <w:szCs w:val="21"/>
          <w:highlight w:val="none"/>
          <w:lang w:bidi="ar"/>
        </w:rPr>
        <w:t>人，营业收入为</w:t>
      </w:r>
      <w:r>
        <w:rPr>
          <w:rFonts w:hint="default" w:ascii="Times New Roman" w:hAnsi="Times New Roman" w:cs="Times New Roman"/>
          <w:color w:val="auto"/>
          <w:kern w:val="0"/>
          <w:szCs w:val="21"/>
          <w:highlight w:val="none"/>
          <w:u w:val="single"/>
          <w:lang w:bidi="ar"/>
        </w:rPr>
        <w:t xml:space="preserve">    </w:t>
      </w:r>
      <w:r>
        <w:rPr>
          <w:rFonts w:hint="default" w:ascii="Times New Roman" w:hAnsi="Times New Roman" w:cs="Times New Roman"/>
          <w:color w:val="auto"/>
          <w:kern w:val="0"/>
          <w:szCs w:val="21"/>
          <w:highlight w:val="none"/>
          <w:lang w:bidi="ar"/>
        </w:rPr>
        <w:t>万元，资产总额为</w:t>
      </w:r>
      <w:r>
        <w:rPr>
          <w:rFonts w:hint="default" w:ascii="Times New Roman" w:hAnsi="Times New Roman" w:cs="Times New Roman"/>
          <w:color w:val="auto"/>
          <w:kern w:val="0"/>
          <w:szCs w:val="21"/>
          <w:highlight w:val="none"/>
          <w:u w:val="single"/>
          <w:lang w:bidi="ar"/>
        </w:rPr>
        <w:t xml:space="preserve">    </w:t>
      </w:r>
      <w:r>
        <w:rPr>
          <w:rFonts w:hint="default" w:ascii="Times New Roman" w:hAnsi="Times New Roman" w:cs="Times New Roman"/>
          <w:color w:val="auto"/>
          <w:kern w:val="0"/>
          <w:szCs w:val="21"/>
          <w:highlight w:val="none"/>
          <w:lang w:bidi="ar"/>
        </w:rPr>
        <w:t>万元</w:t>
      </w:r>
      <w:r>
        <w:rPr>
          <w:rFonts w:hint="default" w:ascii="Times New Roman" w:hAnsi="Times New Roman" w:cs="Times New Roman"/>
          <w:color w:val="auto"/>
          <w:kern w:val="0"/>
          <w:szCs w:val="21"/>
          <w:highlight w:val="none"/>
          <w:vertAlign w:val="superscript"/>
          <w:lang w:bidi="ar"/>
        </w:rPr>
        <w:t>1</w:t>
      </w:r>
      <w:r>
        <w:rPr>
          <w:rFonts w:hint="default" w:ascii="Times New Roman" w:hAnsi="Times New Roman" w:cs="Times New Roman"/>
          <w:color w:val="auto"/>
          <w:kern w:val="0"/>
          <w:szCs w:val="21"/>
          <w:highlight w:val="none"/>
          <w:lang w:bidi="ar"/>
        </w:rPr>
        <w:t>，属于</w:t>
      </w:r>
      <w:r>
        <w:rPr>
          <w:rFonts w:hint="default" w:ascii="Times New Roman" w:hAnsi="Times New Roman" w:cs="Times New Roman"/>
          <w:i/>
          <w:color w:val="auto"/>
          <w:kern w:val="0"/>
          <w:szCs w:val="21"/>
          <w:highlight w:val="none"/>
          <w:u w:val="single"/>
          <w:lang w:bidi="ar"/>
        </w:rPr>
        <w:t>（中型企业、小型企业、微型企业）</w:t>
      </w:r>
      <w:r>
        <w:rPr>
          <w:rFonts w:hint="default" w:ascii="Times New Roman" w:hAnsi="Times New Roman" w:cs="Times New Roman"/>
          <w:color w:val="auto"/>
          <w:kern w:val="0"/>
          <w:szCs w:val="21"/>
          <w:highlight w:val="none"/>
          <w:lang w:bidi="ar"/>
        </w:rPr>
        <w:t>；</w:t>
      </w:r>
    </w:p>
    <w:p>
      <w:pPr>
        <w:spacing w:line="5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p>
      <w:pPr>
        <w:spacing w:line="5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本企业对上述声明内容的真实性负责。如有虚假，将依法承担相应责任。</w:t>
      </w:r>
    </w:p>
    <w:p>
      <w:pPr>
        <w:spacing w:line="500" w:lineRule="exact"/>
        <w:rPr>
          <w:rFonts w:hint="default" w:ascii="Times New Roman" w:hAnsi="Times New Roman" w:cs="Times New Roman"/>
          <w:color w:val="auto"/>
          <w:szCs w:val="21"/>
          <w:highlight w:val="none"/>
        </w:rPr>
      </w:pPr>
    </w:p>
    <w:p>
      <w:pPr>
        <w:spacing w:line="500" w:lineRule="exact"/>
        <w:rPr>
          <w:rFonts w:hint="default" w:ascii="Times New Roman" w:hAnsi="Times New Roman" w:cs="Times New Roman"/>
          <w:color w:val="auto"/>
          <w:szCs w:val="21"/>
          <w:highlight w:val="none"/>
        </w:rPr>
      </w:pPr>
    </w:p>
    <w:p>
      <w:pPr>
        <w:spacing w:line="50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企业名称（盖章）：</w:t>
      </w:r>
    </w:p>
    <w:p>
      <w:pPr>
        <w:spacing w:line="500" w:lineRule="exact"/>
        <w:jc w:val="left"/>
        <w:rPr>
          <w:rFonts w:hint="default" w:ascii="Times New Roman" w:hAnsi="Times New Roman" w:cs="Times New Roman"/>
          <w:color w:val="auto"/>
          <w:szCs w:val="21"/>
          <w:highlight w:val="none"/>
        </w:rPr>
      </w:pPr>
    </w:p>
    <w:p>
      <w:pPr>
        <w:spacing w:line="50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w:t>
      </w:r>
    </w:p>
    <w:p>
      <w:pPr>
        <w:pStyle w:val="16"/>
        <w:rPr>
          <w:rFonts w:hint="default" w:ascii="Times New Roman" w:hAnsi="Times New Roman" w:cs="Times New Roman"/>
          <w:color w:val="auto"/>
          <w:szCs w:val="21"/>
          <w:highlight w:val="none"/>
          <w:u w:val="single"/>
        </w:rPr>
      </w:pPr>
    </w:p>
    <w:p>
      <w:pPr>
        <w:pStyle w:val="16"/>
        <w:rPr>
          <w:rFonts w:hint="default" w:ascii="Times New Roman" w:hAnsi="Times New Roman" w:cs="Times New Roman"/>
          <w:color w:val="auto"/>
          <w:szCs w:val="21"/>
          <w:highlight w:val="none"/>
          <w:u w:val="single"/>
        </w:rPr>
      </w:pP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注：1、从业人员、营业收入、资产总额填报上一年度数据，无上一年度数据的新成立企业可不填报。</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2、其他未列明行业。从业人员300人以下的为中小微型企业。其中，从业人员100人及以上的为中型企业；从业人员10人及以上的为小型企业；从业人员10人以下的为微型企业。</w:t>
      </w:r>
      <w:r>
        <w:rPr>
          <w:rFonts w:hint="default" w:ascii="Times New Roman" w:hAnsi="Times New Roman" w:eastAsia="宋体" w:cs="Times New Roman"/>
          <w:color w:val="auto"/>
          <w:szCs w:val="21"/>
          <w:highlight w:val="none"/>
          <w:lang w:eastAsia="zh-CN"/>
        </w:rPr>
        <w:t>（中小企业划型标准按工信部联企业【</w:t>
      </w:r>
      <w:r>
        <w:rPr>
          <w:rFonts w:hint="default" w:ascii="Times New Roman" w:hAnsi="Times New Roman" w:eastAsia="宋体" w:cs="Times New Roman"/>
          <w:color w:val="auto"/>
          <w:szCs w:val="21"/>
          <w:highlight w:val="none"/>
          <w:lang w:val="en-US" w:eastAsia="zh-CN"/>
        </w:rPr>
        <w:t>2011</w:t>
      </w:r>
      <w:r>
        <w:rPr>
          <w:rFonts w:hint="default" w:ascii="Times New Roman" w:hAnsi="Times New Roman" w:eastAsia="宋体" w:cs="Times New Roman"/>
          <w:color w:val="auto"/>
          <w:szCs w:val="21"/>
          <w:highlight w:val="none"/>
          <w:lang w:eastAsia="zh-CN"/>
        </w:rPr>
        <w:t>】300号文件，提供虚假资料者责任自负。）</w:t>
      </w:r>
      <w:r>
        <w:rPr>
          <w:rFonts w:hint="default" w:ascii="Times New Roman" w:hAnsi="Times New Roman" w:eastAsia="宋体" w:cs="Times New Roman"/>
          <w:color w:val="auto"/>
          <w:szCs w:val="21"/>
          <w:highlight w:val="none"/>
        </w:rPr>
        <w:t xml:space="preserve">   </w:t>
      </w:r>
    </w:p>
    <w:p>
      <w:pPr>
        <w:spacing w:line="360" w:lineRule="auto"/>
        <w:ind w:firstLine="420" w:firstLineChars="200"/>
        <w:rPr>
          <w:rFonts w:hint="default" w:ascii="Times New Roman" w:hAnsi="Times New Roman" w:cs="Times New Roman"/>
          <w:color w:val="auto"/>
          <w:spacing w:val="6"/>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pacing w:val="6"/>
          <w:szCs w:val="21"/>
          <w:highlight w:val="none"/>
        </w:rPr>
        <w:br w:type="page"/>
      </w:r>
      <w:r>
        <w:rPr>
          <w:rFonts w:hint="default" w:ascii="Times New Roman" w:hAnsi="Times New Roman" w:cs="Times New Roman"/>
          <w:b/>
          <w:color w:val="auto"/>
          <w:spacing w:val="6"/>
          <w:szCs w:val="21"/>
          <w:highlight w:val="none"/>
        </w:rPr>
        <w:t>格式十</w:t>
      </w:r>
      <w:r>
        <w:rPr>
          <w:rFonts w:hint="default" w:ascii="Times New Roman" w:hAnsi="Times New Roman" w:cs="Times New Roman"/>
          <w:b/>
          <w:color w:val="auto"/>
          <w:spacing w:val="6"/>
          <w:szCs w:val="21"/>
          <w:highlight w:val="none"/>
          <w:lang w:val="en-US" w:eastAsia="zh-CN"/>
        </w:rPr>
        <w:t>一</w:t>
      </w:r>
      <w:r>
        <w:rPr>
          <w:rFonts w:hint="default" w:ascii="Times New Roman" w:hAnsi="Times New Roman" w:cs="Times New Roman"/>
          <w:b/>
          <w:color w:val="auto"/>
          <w:spacing w:val="6"/>
          <w:szCs w:val="21"/>
          <w:highlight w:val="none"/>
        </w:rPr>
        <w:t>：</w:t>
      </w:r>
    </w:p>
    <w:p>
      <w:pPr>
        <w:spacing w:line="36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投标人响应表</w:t>
      </w:r>
    </w:p>
    <w:p>
      <w:pPr>
        <w:spacing w:line="360" w:lineRule="auto"/>
        <w:jc w:val="left"/>
        <w:rPr>
          <w:rFonts w:hint="default" w:ascii="Times New Roman" w:hAnsi="Times New Roman" w:cs="Times New Roman"/>
          <w:color w:val="auto"/>
          <w:szCs w:val="21"/>
          <w:highlight w:val="none"/>
        </w:rPr>
      </w:pPr>
    </w:p>
    <w:p>
      <w:pPr>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项目名称：</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项目编号：</w:t>
      </w:r>
      <w:r>
        <w:rPr>
          <w:rFonts w:hint="default" w:ascii="Times New Roman" w:hAnsi="Times New Roman" w:cs="Times New Roman"/>
          <w:color w:val="auto"/>
          <w:szCs w:val="21"/>
          <w:highlight w:val="none"/>
          <w:u w:val="single"/>
        </w:rPr>
        <w:t xml:space="preserve">                      </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4"/>
        <w:gridCol w:w="6237"/>
        <w:gridCol w:w="184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567" w:hRule="atLeast"/>
          <w:jc w:val="center"/>
        </w:trPr>
        <w:tc>
          <w:tcPr>
            <w:tcW w:w="724"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6237"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评审内容</w:t>
            </w: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400" w:lineRule="exact"/>
              <w:rPr>
                <w:rFonts w:hint="default" w:ascii="Times New Roman" w:hAnsi="Times New Roman" w:cs="Times New Roman"/>
                <w:color w:val="auto"/>
                <w:szCs w:val="21"/>
                <w:highlight w:val="none"/>
              </w:rPr>
            </w:pPr>
          </w:p>
        </w:tc>
        <w:tc>
          <w:tcPr>
            <w:tcW w:w="6237" w:type="dxa"/>
            <w:noWrap w:val="0"/>
            <w:vAlign w:val="center"/>
          </w:tcPr>
          <w:p>
            <w:pPr>
              <w:spacing w:line="400" w:lineRule="exact"/>
              <w:rPr>
                <w:rFonts w:hint="default" w:ascii="Times New Roman" w:hAnsi="Times New Roman" w:cs="Times New Roman"/>
                <w:color w:val="auto"/>
                <w:szCs w:val="21"/>
                <w:highlight w:val="none"/>
              </w:rPr>
            </w:pPr>
          </w:p>
        </w:tc>
        <w:tc>
          <w:tcPr>
            <w:tcW w:w="1843" w:type="dxa"/>
            <w:noWrap w:val="0"/>
            <w:vAlign w:val="center"/>
          </w:tcPr>
          <w:p>
            <w:pPr>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  ）页</w:t>
            </w:r>
          </w:p>
        </w:tc>
      </w:tr>
    </w:tbl>
    <w:p>
      <w:pPr>
        <w:widowControl/>
        <w:spacing w:line="360" w:lineRule="auto"/>
        <w:jc w:val="left"/>
        <w:rPr>
          <w:rFonts w:hint="default" w:ascii="Times New Roman" w:hAnsi="Times New Roman" w:cs="Times New Roman"/>
          <w:b/>
          <w:color w:val="auto"/>
          <w:spacing w:val="6"/>
          <w:szCs w:val="21"/>
          <w:highlight w:val="none"/>
        </w:rPr>
      </w:pPr>
      <w:r>
        <w:rPr>
          <w:rFonts w:hint="default" w:ascii="Times New Roman" w:hAnsi="Times New Roman" w:cs="Times New Roman"/>
          <w:b/>
          <w:bCs/>
          <w:color w:val="auto"/>
          <w:szCs w:val="21"/>
          <w:highlight w:val="none"/>
        </w:rPr>
        <w:t>注：根据评分标准逐条填写。</w:t>
      </w:r>
    </w:p>
    <w:p>
      <w:pPr>
        <w:widowControl/>
        <w:spacing w:line="360" w:lineRule="auto"/>
        <w:jc w:val="left"/>
        <w:rPr>
          <w:rFonts w:hint="default" w:ascii="Times New Roman" w:hAnsi="Times New Roman" w:cs="Times New Roman"/>
          <w:b/>
          <w:color w:val="auto"/>
          <w:spacing w:val="6"/>
          <w:szCs w:val="21"/>
          <w:highlight w:val="none"/>
        </w:rPr>
      </w:pPr>
    </w:p>
    <w:p>
      <w:pPr>
        <w:pStyle w:val="16"/>
        <w:rPr>
          <w:rFonts w:hint="default" w:ascii="Times New Roman" w:hAnsi="Times New Roman" w:cs="Times New Roman"/>
          <w:color w:val="auto"/>
          <w:highlight w:val="none"/>
        </w:rPr>
      </w:pPr>
    </w:p>
    <w:p>
      <w:pPr>
        <w:pStyle w:val="17"/>
        <w:widowControl/>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投标人全称（盖公章）：</w:t>
      </w:r>
    </w:p>
    <w:p>
      <w:pPr>
        <w:pStyle w:val="17"/>
        <w:widowControl/>
        <w:spacing w:line="360" w:lineRule="auto"/>
        <w:jc w:val="left"/>
        <w:rPr>
          <w:rFonts w:hint="default" w:ascii="Times New Roman" w:hAnsi="Times New Roman" w:cs="Times New Roman"/>
          <w:color w:val="auto"/>
          <w:sz w:val="21"/>
          <w:szCs w:val="21"/>
          <w:highlight w:val="none"/>
        </w:rPr>
      </w:pPr>
    </w:p>
    <w:p>
      <w:pPr>
        <w:pStyle w:val="17"/>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日期：年  月  日</w:t>
      </w:r>
    </w:p>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pacing w:val="6"/>
          <w:szCs w:val="21"/>
          <w:highlight w:val="none"/>
        </w:rPr>
        <w:br w:type="page"/>
      </w:r>
      <w:r>
        <w:rPr>
          <w:rFonts w:hint="default" w:ascii="Times New Roman" w:hAnsi="Times New Roman" w:cs="Times New Roman"/>
          <w:b/>
          <w:color w:val="auto"/>
          <w:spacing w:val="6"/>
          <w:szCs w:val="21"/>
          <w:highlight w:val="none"/>
        </w:rPr>
        <w:t>格式十</w:t>
      </w:r>
      <w:r>
        <w:rPr>
          <w:rFonts w:hint="default" w:ascii="Times New Roman" w:hAnsi="Times New Roman" w:cs="Times New Roman"/>
          <w:b/>
          <w:color w:val="auto"/>
          <w:spacing w:val="6"/>
          <w:szCs w:val="21"/>
          <w:highlight w:val="none"/>
          <w:lang w:val="en-US" w:eastAsia="zh-CN"/>
        </w:rPr>
        <w:t>二</w:t>
      </w:r>
      <w:r>
        <w:rPr>
          <w:rFonts w:hint="default" w:ascii="Times New Roman" w:hAnsi="Times New Roman" w:cs="Times New Roman"/>
          <w:b/>
          <w:color w:val="auto"/>
          <w:spacing w:val="6"/>
          <w:szCs w:val="21"/>
          <w:highlight w:val="none"/>
        </w:rPr>
        <w:t>：</w:t>
      </w:r>
    </w:p>
    <w:p>
      <w:pPr>
        <w:pStyle w:val="17"/>
        <w:spacing w:line="360" w:lineRule="auto"/>
        <w:ind w:firstLine="0"/>
        <w:jc w:val="center"/>
        <w:rPr>
          <w:rFonts w:hint="default" w:ascii="Times New Roman" w:hAnsi="Times New Roman" w:cs="Times New Roman"/>
          <w:b/>
          <w:color w:val="auto"/>
          <w:sz w:val="24"/>
          <w:highlight w:val="none"/>
        </w:rPr>
      </w:pPr>
      <w:bookmarkStart w:id="65" w:name="OLE_LINK13"/>
      <w:bookmarkStart w:id="66" w:name="OLE_LINK14"/>
      <w:r>
        <w:rPr>
          <w:rFonts w:hint="default" w:ascii="Times New Roman" w:hAnsi="Times New Roman" w:cs="Times New Roman"/>
          <w:b/>
          <w:color w:val="auto"/>
          <w:sz w:val="24"/>
          <w:highlight w:val="none"/>
        </w:rPr>
        <w:t>残疾人福利性单位声明函</w:t>
      </w:r>
      <w:bookmarkEnd w:id="65"/>
      <w:bookmarkEnd w:id="66"/>
    </w:p>
    <w:p>
      <w:pPr>
        <w:spacing w:line="360" w:lineRule="auto"/>
        <w:ind w:firstLine="420" w:firstLineChars="200"/>
        <w:rPr>
          <w:rFonts w:hint="default" w:ascii="Times New Roman" w:hAnsi="Times New Roman" w:cs="Times New Roman"/>
          <w:color w:val="auto"/>
          <w:szCs w:val="21"/>
          <w:highlight w:val="none"/>
        </w:rPr>
      </w:pP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本单位郑重声明，根据《财政部 民政部 中国残疾人联合会关于促进残疾人就业政府采购政策的通知》（财库【2017】141号）的规定，本单位</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kern w:val="0"/>
          <w:szCs w:val="21"/>
          <w:highlight w:val="none"/>
          <w:lang w:bidi="ar"/>
        </w:rPr>
        <w:t>（请填写：为符合、不符合）</w:t>
      </w:r>
      <w:r>
        <w:rPr>
          <w:rFonts w:hint="default" w:ascii="Times New Roman" w:hAnsi="Times New Roman" w:cs="Times New Roman"/>
          <w:color w:val="auto"/>
          <w:szCs w:val="21"/>
          <w:highlight w:val="none"/>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本单位对上述声明的真实性负责。如有虚假，将依法承担相应责任。</w:t>
      </w:r>
    </w:p>
    <w:p>
      <w:pPr>
        <w:spacing w:line="360" w:lineRule="auto"/>
        <w:ind w:firstLine="444" w:firstLineChars="200"/>
        <w:rPr>
          <w:rFonts w:hint="default" w:ascii="Times New Roman" w:hAnsi="Times New Roman" w:cs="Times New Roman"/>
          <w:color w:val="auto"/>
          <w:spacing w:val="6"/>
          <w:szCs w:val="21"/>
          <w:highlight w:val="none"/>
        </w:rPr>
      </w:pPr>
    </w:p>
    <w:p>
      <w:pPr>
        <w:spacing w:line="360" w:lineRule="auto"/>
        <w:ind w:firstLine="444" w:firstLineChars="200"/>
        <w:rPr>
          <w:rFonts w:hint="default" w:ascii="Times New Roman" w:hAnsi="Times New Roman" w:cs="Times New Roman"/>
          <w:color w:val="auto"/>
          <w:spacing w:val="6"/>
          <w:szCs w:val="21"/>
          <w:highlight w:val="none"/>
        </w:rPr>
      </w:pPr>
    </w:p>
    <w:p>
      <w:pPr>
        <w:tabs>
          <w:tab w:val="left" w:pos="4860"/>
        </w:tabs>
        <w:spacing w:line="360" w:lineRule="auto"/>
        <w:ind w:right="1560" w:firstLine="444" w:firstLineChars="200"/>
        <w:jc w:val="center"/>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 xml:space="preserve">                                   企业名称（盖章）： </w:t>
      </w:r>
    </w:p>
    <w:p>
      <w:pPr>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color w:val="auto"/>
          <w:spacing w:val="6"/>
          <w:szCs w:val="21"/>
          <w:highlight w:val="none"/>
        </w:rPr>
        <w:t xml:space="preserve">                                        日  期：</w:t>
      </w:r>
    </w:p>
    <w:sectPr>
      <w:pgSz w:w="11906" w:h="16838"/>
      <w:pgMar w:top="1440" w:right="1803" w:bottom="1440" w:left="1803" w:header="851"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1FB" w:csb1="00000000"/>
  </w:font>
  <w:font w:name="Verdana">
    <w:panose1 w:val="020B0604030504040204"/>
    <w:charset w:val="00"/>
    <w:family w:val="swiss"/>
    <w:pitch w:val="default"/>
    <w:sig w:usb0="A00006FF" w:usb1="4000205B" w:usb2="00000010" w:usb3="00000000" w:csb0="2000019F" w:csb1="00000000"/>
  </w:font>
  <w:font w:name="ヒラギノ角ゴ Pro W3">
    <w:altName w:val="微软雅黑"/>
    <w:panose1 w:val="00000000000000000000"/>
    <w:charset w:val="00"/>
    <w:family w:val="roman"/>
    <w:pitch w:val="default"/>
    <w:sig w:usb0="00000000" w:usb1="00000000" w:usb2="00000000" w:usb3="00000000" w:csb0="00040001" w:csb1="00000000"/>
  </w:font>
  <w:font w:name="Thorndale">
    <w:altName w:val="微软雅黑"/>
    <w:panose1 w:val="00000000000000000000"/>
    <w:charset w:val="00"/>
    <w:family w:val="roman"/>
    <w:pitch w:val="default"/>
    <w:sig w:usb0="00000000" w:usb1="00000000" w:usb2="00000000" w:usb3="00000000" w:csb0="00040001" w:csb1="00000000"/>
  </w:font>
  <w:font w:name="HG Mincho Light J">
    <w:altName w:val="微软雅黑"/>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8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7"/>
    <w:multiLevelType w:val="multilevel"/>
    <w:tmpl w:val="0000000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1145"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00000009"/>
    <w:multiLevelType w:val="multilevel"/>
    <w:tmpl w:val="00000009"/>
    <w:lvl w:ilvl="0" w:tentative="0">
      <w:start w:val="1"/>
      <w:numFmt w:val="bullet"/>
      <w:pStyle w:val="146"/>
      <w:lvlText w:val=""/>
      <w:lvlJc w:val="left"/>
      <w:pPr>
        <w:tabs>
          <w:tab w:val="left" w:pos="840"/>
        </w:tabs>
        <w:ind w:left="840" w:hanging="420"/>
      </w:pPr>
      <w:rPr>
        <w:rFonts w:hint="default" w:ascii="Wingdings" w:hAnsi="Wingdings"/>
        <w:color w:val="000080"/>
        <w:sz w:val="15"/>
        <w:szCs w:val="15"/>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singleLevel"/>
    <w:tmpl w:val="0000000A"/>
    <w:lvl w:ilvl="0" w:tentative="0">
      <w:start w:val="1"/>
      <w:numFmt w:val="decimal"/>
      <w:pStyle w:val="18"/>
      <w:lvlText w:val="%1."/>
      <w:lvlJc w:val="left"/>
      <w:pPr>
        <w:tabs>
          <w:tab w:val="left" w:pos="1200"/>
        </w:tabs>
        <w:ind w:left="1200" w:hanging="360"/>
      </w:pPr>
    </w:lvl>
  </w:abstractNum>
  <w:abstractNum w:abstractNumId="4">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5">
    <w:nsid w:val="0FFFFF7C"/>
    <w:multiLevelType w:val="singleLevel"/>
    <w:tmpl w:val="0FFFFF7C"/>
    <w:lvl w:ilvl="0" w:tentative="0">
      <w:start w:val="1"/>
      <w:numFmt w:val="decimal"/>
      <w:pStyle w:val="149"/>
      <w:lvlText w:val="%1."/>
      <w:lvlJc w:val="left"/>
      <w:pPr>
        <w:tabs>
          <w:tab w:val="left" w:pos="2040"/>
        </w:tabs>
        <w:ind w:left="2040" w:hanging="36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YTExMDg5NGM5ZDljNDgyZjZkN2NmNzY5ODZhYjFjYTgifQ=="/>
    <w:docVar w:name="CurUserName" w:val="采购监管处收发室"/>
    <w:docVar w:name="DeleteMarces" w:val="False"/>
    <w:docVar w:name="DocName" w:val="0EF90D4B09DBFB9E4825742B0028ACBF_1.doc"/>
    <w:docVar w:name="haha" w:val="100"/>
    <w:docVar w:name="KSO_WPS_MARK_KEY" w:val="17a6e64c-99bd-415c-a74f-9ef7bf469bfa"/>
    <w:docVar w:name="NewInfo" w:val="〔2009〕20&amp;;&amp;浙财采监字"/>
    <w:docVar w:name="OldInfo" w:val=" "/>
    <w:docVar w:name="SplitTool" w:val="False"/>
    <w:docVar w:name="TitleStr" w:val="浙江省财政厅;文件;"/>
    <w:docVar w:name="TrackMark" w:val="1"/>
  </w:docVars>
  <w:rsids>
    <w:rsidRoot w:val="00172A27"/>
    <w:rsid w:val="00013D4F"/>
    <w:rsid w:val="0007502F"/>
    <w:rsid w:val="00094B86"/>
    <w:rsid w:val="000A5650"/>
    <w:rsid w:val="000C3735"/>
    <w:rsid w:val="000C5C11"/>
    <w:rsid w:val="000D471E"/>
    <w:rsid w:val="000D6945"/>
    <w:rsid w:val="0012072D"/>
    <w:rsid w:val="00121B59"/>
    <w:rsid w:val="00141300"/>
    <w:rsid w:val="001A424B"/>
    <w:rsid w:val="002A79BB"/>
    <w:rsid w:val="002C5D83"/>
    <w:rsid w:val="002E1B91"/>
    <w:rsid w:val="00302CB9"/>
    <w:rsid w:val="00322886"/>
    <w:rsid w:val="003C72D9"/>
    <w:rsid w:val="003E1335"/>
    <w:rsid w:val="004604CA"/>
    <w:rsid w:val="004C40DB"/>
    <w:rsid w:val="005317B9"/>
    <w:rsid w:val="0056483F"/>
    <w:rsid w:val="005903C3"/>
    <w:rsid w:val="00601D95"/>
    <w:rsid w:val="006465C7"/>
    <w:rsid w:val="006F6AF6"/>
    <w:rsid w:val="00701E85"/>
    <w:rsid w:val="00732564"/>
    <w:rsid w:val="00755150"/>
    <w:rsid w:val="00796FB1"/>
    <w:rsid w:val="007C73D4"/>
    <w:rsid w:val="007D241C"/>
    <w:rsid w:val="0082432D"/>
    <w:rsid w:val="00852402"/>
    <w:rsid w:val="00876F3F"/>
    <w:rsid w:val="008A36F5"/>
    <w:rsid w:val="008E1F07"/>
    <w:rsid w:val="00967FDD"/>
    <w:rsid w:val="0099027C"/>
    <w:rsid w:val="00997376"/>
    <w:rsid w:val="009A1A26"/>
    <w:rsid w:val="009E20D5"/>
    <w:rsid w:val="00A721F2"/>
    <w:rsid w:val="00A7638E"/>
    <w:rsid w:val="00AC46D2"/>
    <w:rsid w:val="00BC3301"/>
    <w:rsid w:val="00BD7BDD"/>
    <w:rsid w:val="00C9020F"/>
    <w:rsid w:val="00C90857"/>
    <w:rsid w:val="00D4594D"/>
    <w:rsid w:val="00D8400A"/>
    <w:rsid w:val="00DB522B"/>
    <w:rsid w:val="00E1768E"/>
    <w:rsid w:val="00E43693"/>
    <w:rsid w:val="00E96A71"/>
    <w:rsid w:val="00EF4DB1"/>
    <w:rsid w:val="00F348EB"/>
    <w:rsid w:val="00F359DD"/>
    <w:rsid w:val="00F42E1D"/>
    <w:rsid w:val="00F600C8"/>
    <w:rsid w:val="00FA2F1B"/>
    <w:rsid w:val="00FD26ED"/>
    <w:rsid w:val="01115A91"/>
    <w:rsid w:val="01644F18"/>
    <w:rsid w:val="01780628"/>
    <w:rsid w:val="017C4C76"/>
    <w:rsid w:val="01C212FC"/>
    <w:rsid w:val="02130DA9"/>
    <w:rsid w:val="027920E7"/>
    <w:rsid w:val="028849A1"/>
    <w:rsid w:val="02995692"/>
    <w:rsid w:val="03140BDC"/>
    <w:rsid w:val="03195903"/>
    <w:rsid w:val="031C5B37"/>
    <w:rsid w:val="031D64BC"/>
    <w:rsid w:val="03A65D81"/>
    <w:rsid w:val="03D553DB"/>
    <w:rsid w:val="03EF1A15"/>
    <w:rsid w:val="03F00B6C"/>
    <w:rsid w:val="0403531C"/>
    <w:rsid w:val="0413003B"/>
    <w:rsid w:val="04651CD8"/>
    <w:rsid w:val="04764702"/>
    <w:rsid w:val="04C2694C"/>
    <w:rsid w:val="04CE1CBF"/>
    <w:rsid w:val="04E6163D"/>
    <w:rsid w:val="055B1E7B"/>
    <w:rsid w:val="05644F36"/>
    <w:rsid w:val="057860EF"/>
    <w:rsid w:val="0585288A"/>
    <w:rsid w:val="05A52CD4"/>
    <w:rsid w:val="05AD1437"/>
    <w:rsid w:val="05E65A20"/>
    <w:rsid w:val="06116144"/>
    <w:rsid w:val="0645646A"/>
    <w:rsid w:val="06747D14"/>
    <w:rsid w:val="06754FF0"/>
    <w:rsid w:val="0677303B"/>
    <w:rsid w:val="069E42C6"/>
    <w:rsid w:val="06B3490D"/>
    <w:rsid w:val="06C12551"/>
    <w:rsid w:val="06D95EB2"/>
    <w:rsid w:val="06F56E71"/>
    <w:rsid w:val="06FA4F92"/>
    <w:rsid w:val="075E1A0B"/>
    <w:rsid w:val="0773446D"/>
    <w:rsid w:val="07772250"/>
    <w:rsid w:val="077F7EA6"/>
    <w:rsid w:val="079F19FC"/>
    <w:rsid w:val="07A533DE"/>
    <w:rsid w:val="07EA7FD1"/>
    <w:rsid w:val="07EB08C9"/>
    <w:rsid w:val="07EC2E3C"/>
    <w:rsid w:val="08E05A79"/>
    <w:rsid w:val="08FA7666"/>
    <w:rsid w:val="09052669"/>
    <w:rsid w:val="091D3FDF"/>
    <w:rsid w:val="09222B8B"/>
    <w:rsid w:val="0930243A"/>
    <w:rsid w:val="096C6B7D"/>
    <w:rsid w:val="0A33617E"/>
    <w:rsid w:val="0A3A0F1A"/>
    <w:rsid w:val="0A5674B3"/>
    <w:rsid w:val="0A5A34F6"/>
    <w:rsid w:val="0A7707F1"/>
    <w:rsid w:val="0A7A3C5E"/>
    <w:rsid w:val="0A972008"/>
    <w:rsid w:val="0AB37C41"/>
    <w:rsid w:val="0ADC2EBB"/>
    <w:rsid w:val="0B2044D7"/>
    <w:rsid w:val="0B25266D"/>
    <w:rsid w:val="0B3A6C00"/>
    <w:rsid w:val="0BC8637A"/>
    <w:rsid w:val="0C085D6A"/>
    <w:rsid w:val="0C10082B"/>
    <w:rsid w:val="0C560E9A"/>
    <w:rsid w:val="0C6C18BE"/>
    <w:rsid w:val="0C9A39E7"/>
    <w:rsid w:val="0CBB47C0"/>
    <w:rsid w:val="0D315552"/>
    <w:rsid w:val="0D7B08F6"/>
    <w:rsid w:val="0E6C1965"/>
    <w:rsid w:val="0E8327F5"/>
    <w:rsid w:val="0E911387"/>
    <w:rsid w:val="0EB66FEC"/>
    <w:rsid w:val="0EB67F04"/>
    <w:rsid w:val="0EBC3C2B"/>
    <w:rsid w:val="0EF112EC"/>
    <w:rsid w:val="0F337D94"/>
    <w:rsid w:val="0F370EFF"/>
    <w:rsid w:val="0F8D1754"/>
    <w:rsid w:val="0FBC2524"/>
    <w:rsid w:val="0FD45227"/>
    <w:rsid w:val="0FFF0F3E"/>
    <w:rsid w:val="10700B2D"/>
    <w:rsid w:val="10A85134"/>
    <w:rsid w:val="10CD1330"/>
    <w:rsid w:val="10CE5C79"/>
    <w:rsid w:val="10D372F4"/>
    <w:rsid w:val="10DD5A17"/>
    <w:rsid w:val="10E755B6"/>
    <w:rsid w:val="10F84BCA"/>
    <w:rsid w:val="110F61AF"/>
    <w:rsid w:val="111652AE"/>
    <w:rsid w:val="117A266A"/>
    <w:rsid w:val="11B40C3E"/>
    <w:rsid w:val="11C33393"/>
    <w:rsid w:val="11C8569E"/>
    <w:rsid w:val="11D43D59"/>
    <w:rsid w:val="11DE2EBC"/>
    <w:rsid w:val="121F462C"/>
    <w:rsid w:val="12324513"/>
    <w:rsid w:val="12336C2A"/>
    <w:rsid w:val="12454E4E"/>
    <w:rsid w:val="125422E9"/>
    <w:rsid w:val="129D5E2E"/>
    <w:rsid w:val="12A82DE4"/>
    <w:rsid w:val="12F428AB"/>
    <w:rsid w:val="13587181"/>
    <w:rsid w:val="138E55E3"/>
    <w:rsid w:val="13BE78CD"/>
    <w:rsid w:val="13CD24C8"/>
    <w:rsid w:val="143D6D23"/>
    <w:rsid w:val="145F5819"/>
    <w:rsid w:val="14775508"/>
    <w:rsid w:val="147A0C1A"/>
    <w:rsid w:val="14824C7E"/>
    <w:rsid w:val="149219CA"/>
    <w:rsid w:val="14BB4275"/>
    <w:rsid w:val="15040B26"/>
    <w:rsid w:val="152420F4"/>
    <w:rsid w:val="157B75AD"/>
    <w:rsid w:val="157C2BA9"/>
    <w:rsid w:val="157F491F"/>
    <w:rsid w:val="15C02E15"/>
    <w:rsid w:val="15FD722D"/>
    <w:rsid w:val="161327D0"/>
    <w:rsid w:val="16491A59"/>
    <w:rsid w:val="165A3666"/>
    <w:rsid w:val="16C0474B"/>
    <w:rsid w:val="16E81187"/>
    <w:rsid w:val="170118EC"/>
    <w:rsid w:val="171020B4"/>
    <w:rsid w:val="1722301F"/>
    <w:rsid w:val="17342109"/>
    <w:rsid w:val="173A377A"/>
    <w:rsid w:val="180D67B4"/>
    <w:rsid w:val="1844637C"/>
    <w:rsid w:val="186D58D3"/>
    <w:rsid w:val="18954137"/>
    <w:rsid w:val="18C23434"/>
    <w:rsid w:val="18C30B3D"/>
    <w:rsid w:val="18EE6901"/>
    <w:rsid w:val="18F51C81"/>
    <w:rsid w:val="18F768FA"/>
    <w:rsid w:val="19237DFA"/>
    <w:rsid w:val="193E071D"/>
    <w:rsid w:val="194128BC"/>
    <w:rsid w:val="19644C70"/>
    <w:rsid w:val="19960273"/>
    <w:rsid w:val="199E19EE"/>
    <w:rsid w:val="19C72B7A"/>
    <w:rsid w:val="19CF5871"/>
    <w:rsid w:val="1A111DD6"/>
    <w:rsid w:val="1A4576DA"/>
    <w:rsid w:val="1A46143F"/>
    <w:rsid w:val="1A8F7CD1"/>
    <w:rsid w:val="1AA02178"/>
    <w:rsid w:val="1AED4514"/>
    <w:rsid w:val="1B165EAB"/>
    <w:rsid w:val="1B263BB4"/>
    <w:rsid w:val="1B522B46"/>
    <w:rsid w:val="1BA14BB5"/>
    <w:rsid w:val="1BC36758"/>
    <w:rsid w:val="1C14678F"/>
    <w:rsid w:val="1C926109"/>
    <w:rsid w:val="1C9A7DE0"/>
    <w:rsid w:val="1D430E23"/>
    <w:rsid w:val="1D5D6F1E"/>
    <w:rsid w:val="1DA43419"/>
    <w:rsid w:val="1DAF206A"/>
    <w:rsid w:val="1DC9483C"/>
    <w:rsid w:val="1DC952F5"/>
    <w:rsid w:val="1DDF3020"/>
    <w:rsid w:val="1DF82062"/>
    <w:rsid w:val="1E0668B9"/>
    <w:rsid w:val="1E170968"/>
    <w:rsid w:val="1E562965"/>
    <w:rsid w:val="1E5D49AA"/>
    <w:rsid w:val="1E7433AC"/>
    <w:rsid w:val="1EC66BAD"/>
    <w:rsid w:val="1ED43E22"/>
    <w:rsid w:val="1ED800B2"/>
    <w:rsid w:val="1EDE61F3"/>
    <w:rsid w:val="1EEC608F"/>
    <w:rsid w:val="1F1812BF"/>
    <w:rsid w:val="1F6C6795"/>
    <w:rsid w:val="1F86727A"/>
    <w:rsid w:val="1FA37E2C"/>
    <w:rsid w:val="2042319F"/>
    <w:rsid w:val="204D2E66"/>
    <w:rsid w:val="20780F6F"/>
    <w:rsid w:val="20E15F61"/>
    <w:rsid w:val="20F66D59"/>
    <w:rsid w:val="210F347C"/>
    <w:rsid w:val="21582DE9"/>
    <w:rsid w:val="21736AC9"/>
    <w:rsid w:val="21C1461B"/>
    <w:rsid w:val="21DF5B29"/>
    <w:rsid w:val="21FF1CF2"/>
    <w:rsid w:val="22015ACC"/>
    <w:rsid w:val="222658BB"/>
    <w:rsid w:val="224C089F"/>
    <w:rsid w:val="229848B8"/>
    <w:rsid w:val="22BC7EA2"/>
    <w:rsid w:val="22F94CF9"/>
    <w:rsid w:val="2354211B"/>
    <w:rsid w:val="23C668FA"/>
    <w:rsid w:val="23E12DCA"/>
    <w:rsid w:val="23F750C8"/>
    <w:rsid w:val="240D4301"/>
    <w:rsid w:val="24253916"/>
    <w:rsid w:val="244373A3"/>
    <w:rsid w:val="24683A1D"/>
    <w:rsid w:val="24695600"/>
    <w:rsid w:val="24731075"/>
    <w:rsid w:val="247A6083"/>
    <w:rsid w:val="24F41A4A"/>
    <w:rsid w:val="25126D68"/>
    <w:rsid w:val="253A643F"/>
    <w:rsid w:val="25501189"/>
    <w:rsid w:val="25523299"/>
    <w:rsid w:val="25C855A7"/>
    <w:rsid w:val="25C95B03"/>
    <w:rsid w:val="25ED2547"/>
    <w:rsid w:val="26041B76"/>
    <w:rsid w:val="264941F8"/>
    <w:rsid w:val="26B005C7"/>
    <w:rsid w:val="276E31A4"/>
    <w:rsid w:val="27762525"/>
    <w:rsid w:val="27863163"/>
    <w:rsid w:val="27A11805"/>
    <w:rsid w:val="28492B09"/>
    <w:rsid w:val="28530F9F"/>
    <w:rsid w:val="28A26FED"/>
    <w:rsid w:val="29001EBA"/>
    <w:rsid w:val="2904711E"/>
    <w:rsid w:val="29203C69"/>
    <w:rsid w:val="298A5BB9"/>
    <w:rsid w:val="299462EE"/>
    <w:rsid w:val="29947F33"/>
    <w:rsid w:val="29986D54"/>
    <w:rsid w:val="29A550B4"/>
    <w:rsid w:val="29B91FFA"/>
    <w:rsid w:val="29C976D6"/>
    <w:rsid w:val="29E90B31"/>
    <w:rsid w:val="2A296034"/>
    <w:rsid w:val="2A297BE5"/>
    <w:rsid w:val="2A406BE0"/>
    <w:rsid w:val="2A5D507B"/>
    <w:rsid w:val="2A60309F"/>
    <w:rsid w:val="2A762EBE"/>
    <w:rsid w:val="2AC56D11"/>
    <w:rsid w:val="2ADC0696"/>
    <w:rsid w:val="2AE80846"/>
    <w:rsid w:val="2B060AAD"/>
    <w:rsid w:val="2B421D74"/>
    <w:rsid w:val="2B805F4C"/>
    <w:rsid w:val="2B866A56"/>
    <w:rsid w:val="2BAE4DFA"/>
    <w:rsid w:val="2BBC5254"/>
    <w:rsid w:val="2C254346"/>
    <w:rsid w:val="2C3E75D1"/>
    <w:rsid w:val="2C5A79F7"/>
    <w:rsid w:val="2C5F220E"/>
    <w:rsid w:val="2C7164D6"/>
    <w:rsid w:val="2C957933"/>
    <w:rsid w:val="2C9F2952"/>
    <w:rsid w:val="2CA45A1B"/>
    <w:rsid w:val="2CAE2E2A"/>
    <w:rsid w:val="2CBF45FA"/>
    <w:rsid w:val="2CD75A25"/>
    <w:rsid w:val="2CF32B49"/>
    <w:rsid w:val="2CF450FB"/>
    <w:rsid w:val="2CF557CE"/>
    <w:rsid w:val="2D027560"/>
    <w:rsid w:val="2D0954AC"/>
    <w:rsid w:val="2D263BD6"/>
    <w:rsid w:val="2DB909EC"/>
    <w:rsid w:val="2DB92514"/>
    <w:rsid w:val="2DBC01B4"/>
    <w:rsid w:val="2DC42EE3"/>
    <w:rsid w:val="2DD666F1"/>
    <w:rsid w:val="2DE67053"/>
    <w:rsid w:val="2DF426EB"/>
    <w:rsid w:val="2E041830"/>
    <w:rsid w:val="2E094BAB"/>
    <w:rsid w:val="2E497F2E"/>
    <w:rsid w:val="2E901625"/>
    <w:rsid w:val="2E957A68"/>
    <w:rsid w:val="2EDA3384"/>
    <w:rsid w:val="2F42189A"/>
    <w:rsid w:val="2F947CCA"/>
    <w:rsid w:val="2F9D6D2D"/>
    <w:rsid w:val="2FE073EB"/>
    <w:rsid w:val="2FE97438"/>
    <w:rsid w:val="2FEA1EED"/>
    <w:rsid w:val="30433E8E"/>
    <w:rsid w:val="304950A0"/>
    <w:rsid w:val="30615E26"/>
    <w:rsid w:val="308E21B4"/>
    <w:rsid w:val="30A42B62"/>
    <w:rsid w:val="30AE5499"/>
    <w:rsid w:val="30B12D2E"/>
    <w:rsid w:val="30B71989"/>
    <w:rsid w:val="30FD38D4"/>
    <w:rsid w:val="313E4C53"/>
    <w:rsid w:val="31603DC7"/>
    <w:rsid w:val="31651B0F"/>
    <w:rsid w:val="31AC08F0"/>
    <w:rsid w:val="31D078C1"/>
    <w:rsid w:val="321A4BAF"/>
    <w:rsid w:val="32306A3C"/>
    <w:rsid w:val="32356A5D"/>
    <w:rsid w:val="32864E8F"/>
    <w:rsid w:val="32F327FF"/>
    <w:rsid w:val="33167083"/>
    <w:rsid w:val="33357C29"/>
    <w:rsid w:val="33384141"/>
    <w:rsid w:val="335C4122"/>
    <w:rsid w:val="335E09FD"/>
    <w:rsid w:val="3380634C"/>
    <w:rsid w:val="33840676"/>
    <w:rsid w:val="33BB234D"/>
    <w:rsid w:val="33D23183"/>
    <w:rsid w:val="34046F0E"/>
    <w:rsid w:val="342707E9"/>
    <w:rsid w:val="34424735"/>
    <w:rsid w:val="34480E6B"/>
    <w:rsid w:val="34853B4C"/>
    <w:rsid w:val="34865FD8"/>
    <w:rsid w:val="34C215CA"/>
    <w:rsid w:val="34CD6C9E"/>
    <w:rsid w:val="34EA133B"/>
    <w:rsid w:val="35064F4A"/>
    <w:rsid w:val="359F6483"/>
    <w:rsid w:val="35AE49CB"/>
    <w:rsid w:val="35BF1785"/>
    <w:rsid w:val="35DF3832"/>
    <w:rsid w:val="35F9407A"/>
    <w:rsid w:val="360F3137"/>
    <w:rsid w:val="363B1A6C"/>
    <w:rsid w:val="365B0102"/>
    <w:rsid w:val="365C64AE"/>
    <w:rsid w:val="36AB064C"/>
    <w:rsid w:val="36D51460"/>
    <w:rsid w:val="36EA107D"/>
    <w:rsid w:val="37165276"/>
    <w:rsid w:val="373F1DD8"/>
    <w:rsid w:val="378C5E81"/>
    <w:rsid w:val="37927DAB"/>
    <w:rsid w:val="37C856DD"/>
    <w:rsid w:val="37DB7D14"/>
    <w:rsid w:val="37F214F9"/>
    <w:rsid w:val="37FC139F"/>
    <w:rsid w:val="381C36AF"/>
    <w:rsid w:val="381E22EE"/>
    <w:rsid w:val="383D6997"/>
    <w:rsid w:val="38561721"/>
    <w:rsid w:val="386922F0"/>
    <w:rsid w:val="387316A1"/>
    <w:rsid w:val="388A7983"/>
    <w:rsid w:val="38A361F1"/>
    <w:rsid w:val="38BD1B07"/>
    <w:rsid w:val="38F510B5"/>
    <w:rsid w:val="38FA2A48"/>
    <w:rsid w:val="39580F2B"/>
    <w:rsid w:val="39952852"/>
    <w:rsid w:val="39977707"/>
    <w:rsid w:val="39A544BC"/>
    <w:rsid w:val="39B45694"/>
    <w:rsid w:val="39BE0C07"/>
    <w:rsid w:val="3A260858"/>
    <w:rsid w:val="3A3C7502"/>
    <w:rsid w:val="3A5F671B"/>
    <w:rsid w:val="3A7E7074"/>
    <w:rsid w:val="3AB4308E"/>
    <w:rsid w:val="3AB56B3E"/>
    <w:rsid w:val="3ADF7397"/>
    <w:rsid w:val="3AE53FEB"/>
    <w:rsid w:val="3B0B792D"/>
    <w:rsid w:val="3B506071"/>
    <w:rsid w:val="3B643F53"/>
    <w:rsid w:val="3BAD3561"/>
    <w:rsid w:val="3BFF5AC6"/>
    <w:rsid w:val="3C284494"/>
    <w:rsid w:val="3C6D246F"/>
    <w:rsid w:val="3CDB255C"/>
    <w:rsid w:val="3CE81CA1"/>
    <w:rsid w:val="3CE8326E"/>
    <w:rsid w:val="3CFB2A0A"/>
    <w:rsid w:val="3D3229CC"/>
    <w:rsid w:val="3D343BB4"/>
    <w:rsid w:val="3D497171"/>
    <w:rsid w:val="3DDF1D9D"/>
    <w:rsid w:val="3DDF4C93"/>
    <w:rsid w:val="3DE764F0"/>
    <w:rsid w:val="3E174CFF"/>
    <w:rsid w:val="3E183EA9"/>
    <w:rsid w:val="3E2255D2"/>
    <w:rsid w:val="3E76488F"/>
    <w:rsid w:val="3EB179BE"/>
    <w:rsid w:val="3F1A4284"/>
    <w:rsid w:val="3F261EB3"/>
    <w:rsid w:val="3F876BFE"/>
    <w:rsid w:val="3F8A3B45"/>
    <w:rsid w:val="3F8F3F71"/>
    <w:rsid w:val="3FC7130B"/>
    <w:rsid w:val="3FD37E62"/>
    <w:rsid w:val="40187A92"/>
    <w:rsid w:val="40441690"/>
    <w:rsid w:val="40817D4E"/>
    <w:rsid w:val="409114BB"/>
    <w:rsid w:val="40A222E1"/>
    <w:rsid w:val="40B15041"/>
    <w:rsid w:val="40D85BCE"/>
    <w:rsid w:val="41592C0A"/>
    <w:rsid w:val="41C13B4E"/>
    <w:rsid w:val="41C92259"/>
    <w:rsid w:val="41CE2067"/>
    <w:rsid w:val="423977E0"/>
    <w:rsid w:val="42692755"/>
    <w:rsid w:val="427E2307"/>
    <w:rsid w:val="42AB0C22"/>
    <w:rsid w:val="42BD50D0"/>
    <w:rsid w:val="42BD71DC"/>
    <w:rsid w:val="42F57D6A"/>
    <w:rsid w:val="430B049A"/>
    <w:rsid w:val="431A55E5"/>
    <w:rsid w:val="434F7F73"/>
    <w:rsid w:val="43A7763B"/>
    <w:rsid w:val="43D67A99"/>
    <w:rsid w:val="441754CC"/>
    <w:rsid w:val="445A645C"/>
    <w:rsid w:val="44772A10"/>
    <w:rsid w:val="449523D9"/>
    <w:rsid w:val="44AB6004"/>
    <w:rsid w:val="44AC3D1F"/>
    <w:rsid w:val="44B77EA1"/>
    <w:rsid w:val="44C463D5"/>
    <w:rsid w:val="44DE3855"/>
    <w:rsid w:val="44DF5458"/>
    <w:rsid w:val="45183C32"/>
    <w:rsid w:val="45313472"/>
    <w:rsid w:val="4584449B"/>
    <w:rsid w:val="45903928"/>
    <w:rsid w:val="45A45D95"/>
    <w:rsid w:val="45AC0BFB"/>
    <w:rsid w:val="45CA1851"/>
    <w:rsid w:val="45F1708E"/>
    <w:rsid w:val="46110525"/>
    <w:rsid w:val="4634431B"/>
    <w:rsid w:val="463A3C13"/>
    <w:rsid w:val="46572700"/>
    <w:rsid w:val="465D2508"/>
    <w:rsid w:val="467166FA"/>
    <w:rsid w:val="467F0348"/>
    <w:rsid w:val="46872F8B"/>
    <w:rsid w:val="468C2A97"/>
    <w:rsid w:val="46C502B5"/>
    <w:rsid w:val="46D02A05"/>
    <w:rsid w:val="46F351CB"/>
    <w:rsid w:val="472D42FC"/>
    <w:rsid w:val="47757CBF"/>
    <w:rsid w:val="477E46B8"/>
    <w:rsid w:val="47835CCA"/>
    <w:rsid w:val="47FC4F08"/>
    <w:rsid w:val="47FE7DDA"/>
    <w:rsid w:val="480B2BA3"/>
    <w:rsid w:val="480C0A25"/>
    <w:rsid w:val="48130628"/>
    <w:rsid w:val="48161D5C"/>
    <w:rsid w:val="4818074B"/>
    <w:rsid w:val="48214A7B"/>
    <w:rsid w:val="487A48E5"/>
    <w:rsid w:val="48964E7C"/>
    <w:rsid w:val="48A45009"/>
    <w:rsid w:val="48AC0E0E"/>
    <w:rsid w:val="48FC1750"/>
    <w:rsid w:val="490B6E7D"/>
    <w:rsid w:val="491170F2"/>
    <w:rsid w:val="493C1942"/>
    <w:rsid w:val="496E0566"/>
    <w:rsid w:val="4972615B"/>
    <w:rsid w:val="497D3DAA"/>
    <w:rsid w:val="49A20D5D"/>
    <w:rsid w:val="49A9066D"/>
    <w:rsid w:val="49DE368B"/>
    <w:rsid w:val="49F74734"/>
    <w:rsid w:val="4A147A52"/>
    <w:rsid w:val="4A160CD4"/>
    <w:rsid w:val="4A463698"/>
    <w:rsid w:val="4A721F4B"/>
    <w:rsid w:val="4A7E598C"/>
    <w:rsid w:val="4AAF64B3"/>
    <w:rsid w:val="4AB56AE2"/>
    <w:rsid w:val="4AB65DD6"/>
    <w:rsid w:val="4ADF0D3D"/>
    <w:rsid w:val="4AE6136C"/>
    <w:rsid w:val="4AF874D9"/>
    <w:rsid w:val="4B042F7F"/>
    <w:rsid w:val="4B226478"/>
    <w:rsid w:val="4B4728A1"/>
    <w:rsid w:val="4B8235E0"/>
    <w:rsid w:val="4BA15872"/>
    <w:rsid w:val="4BC06031"/>
    <w:rsid w:val="4BE03C4B"/>
    <w:rsid w:val="4BF4383A"/>
    <w:rsid w:val="4BF727BF"/>
    <w:rsid w:val="4BFE14FD"/>
    <w:rsid w:val="4C2E4C2C"/>
    <w:rsid w:val="4C410823"/>
    <w:rsid w:val="4C6057D8"/>
    <w:rsid w:val="4C974F50"/>
    <w:rsid w:val="4CA379BE"/>
    <w:rsid w:val="4CDE3513"/>
    <w:rsid w:val="4CE32917"/>
    <w:rsid w:val="4D050F5A"/>
    <w:rsid w:val="4D274F94"/>
    <w:rsid w:val="4D453A21"/>
    <w:rsid w:val="4D4715B5"/>
    <w:rsid w:val="4D4E2B60"/>
    <w:rsid w:val="4D9B7EAF"/>
    <w:rsid w:val="4DBF19FB"/>
    <w:rsid w:val="4DC20EFA"/>
    <w:rsid w:val="4DD41D64"/>
    <w:rsid w:val="4DE661F1"/>
    <w:rsid w:val="4DFF6742"/>
    <w:rsid w:val="4E2F3047"/>
    <w:rsid w:val="4E4C6818"/>
    <w:rsid w:val="4E7B7EF7"/>
    <w:rsid w:val="4EF04ED4"/>
    <w:rsid w:val="4EFE010D"/>
    <w:rsid w:val="4FBC661C"/>
    <w:rsid w:val="4FC63E91"/>
    <w:rsid w:val="4FE62C46"/>
    <w:rsid w:val="5013698F"/>
    <w:rsid w:val="50E2722A"/>
    <w:rsid w:val="5116195C"/>
    <w:rsid w:val="512F532E"/>
    <w:rsid w:val="513C614B"/>
    <w:rsid w:val="5163085F"/>
    <w:rsid w:val="519224DC"/>
    <w:rsid w:val="51D16B6A"/>
    <w:rsid w:val="51E755B3"/>
    <w:rsid w:val="525F697C"/>
    <w:rsid w:val="52AA4A52"/>
    <w:rsid w:val="530C07C7"/>
    <w:rsid w:val="531337BC"/>
    <w:rsid w:val="534E7901"/>
    <w:rsid w:val="535B6B0A"/>
    <w:rsid w:val="536417BE"/>
    <w:rsid w:val="53A13A8A"/>
    <w:rsid w:val="53D31AE7"/>
    <w:rsid w:val="544570BD"/>
    <w:rsid w:val="54845B0A"/>
    <w:rsid w:val="548B0926"/>
    <w:rsid w:val="54AB2D04"/>
    <w:rsid w:val="54AB6A22"/>
    <w:rsid w:val="54B062E7"/>
    <w:rsid w:val="54C10843"/>
    <w:rsid w:val="54D3342C"/>
    <w:rsid w:val="54E6222C"/>
    <w:rsid w:val="54E67898"/>
    <w:rsid w:val="551535C2"/>
    <w:rsid w:val="551710B7"/>
    <w:rsid w:val="552204E0"/>
    <w:rsid w:val="555D2250"/>
    <w:rsid w:val="55EE7B38"/>
    <w:rsid w:val="56293197"/>
    <w:rsid w:val="563221E0"/>
    <w:rsid w:val="563E3DC4"/>
    <w:rsid w:val="56763CD1"/>
    <w:rsid w:val="568D6141"/>
    <w:rsid w:val="56B11A71"/>
    <w:rsid w:val="56B665C7"/>
    <w:rsid w:val="56D23B8E"/>
    <w:rsid w:val="57143C74"/>
    <w:rsid w:val="576949DC"/>
    <w:rsid w:val="5793071E"/>
    <w:rsid w:val="57BB7104"/>
    <w:rsid w:val="57C920BD"/>
    <w:rsid w:val="57D415A6"/>
    <w:rsid w:val="581E2850"/>
    <w:rsid w:val="58290F45"/>
    <w:rsid w:val="58B4291C"/>
    <w:rsid w:val="58D62A59"/>
    <w:rsid w:val="58ED5EAE"/>
    <w:rsid w:val="58F26B0F"/>
    <w:rsid w:val="59170048"/>
    <w:rsid w:val="59927006"/>
    <w:rsid w:val="59A07980"/>
    <w:rsid w:val="59B60710"/>
    <w:rsid w:val="5A67410B"/>
    <w:rsid w:val="5A833963"/>
    <w:rsid w:val="5A883D2F"/>
    <w:rsid w:val="5B284605"/>
    <w:rsid w:val="5B625231"/>
    <w:rsid w:val="5B640F87"/>
    <w:rsid w:val="5B8B4F6A"/>
    <w:rsid w:val="5BA12B1C"/>
    <w:rsid w:val="5BA77147"/>
    <w:rsid w:val="5BB91FA8"/>
    <w:rsid w:val="5BF535F3"/>
    <w:rsid w:val="5C041691"/>
    <w:rsid w:val="5C3D76BD"/>
    <w:rsid w:val="5C5E17DD"/>
    <w:rsid w:val="5C5E6195"/>
    <w:rsid w:val="5C8F1D80"/>
    <w:rsid w:val="5CE537D4"/>
    <w:rsid w:val="5D232F88"/>
    <w:rsid w:val="5D37158C"/>
    <w:rsid w:val="5D40107D"/>
    <w:rsid w:val="5D9407D9"/>
    <w:rsid w:val="5DAB7147"/>
    <w:rsid w:val="5DF17A77"/>
    <w:rsid w:val="5DF86BD5"/>
    <w:rsid w:val="5E8A0868"/>
    <w:rsid w:val="5EA84DCE"/>
    <w:rsid w:val="5EAA7B88"/>
    <w:rsid w:val="5F3242D7"/>
    <w:rsid w:val="5F61422F"/>
    <w:rsid w:val="5F9A1029"/>
    <w:rsid w:val="5F9C3975"/>
    <w:rsid w:val="5FA42BC3"/>
    <w:rsid w:val="5FA647F3"/>
    <w:rsid w:val="5FA90A86"/>
    <w:rsid w:val="5FBE1AD3"/>
    <w:rsid w:val="5FF8109D"/>
    <w:rsid w:val="600A74E8"/>
    <w:rsid w:val="603428FF"/>
    <w:rsid w:val="604C4762"/>
    <w:rsid w:val="60536708"/>
    <w:rsid w:val="608855D9"/>
    <w:rsid w:val="60B116FD"/>
    <w:rsid w:val="60F16E82"/>
    <w:rsid w:val="614C0FE3"/>
    <w:rsid w:val="614C23CD"/>
    <w:rsid w:val="616B4967"/>
    <w:rsid w:val="61B3698E"/>
    <w:rsid w:val="61CF3FA5"/>
    <w:rsid w:val="61D56F0B"/>
    <w:rsid w:val="61E43D06"/>
    <w:rsid w:val="625A44AE"/>
    <w:rsid w:val="625B3462"/>
    <w:rsid w:val="6273625A"/>
    <w:rsid w:val="6290446B"/>
    <w:rsid w:val="629A06FC"/>
    <w:rsid w:val="629C0700"/>
    <w:rsid w:val="62F07138"/>
    <w:rsid w:val="62F95D2F"/>
    <w:rsid w:val="63275925"/>
    <w:rsid w:val="632F03CB"/>
    <w:rsid w:val="633A7322"/>
    <w:rsid w:val="64151089"/>
    <w:rsid w:val="64204EC6"/>
    <w:rsid w:val="648120F9"/>
    <w:rsid w:val="64C867B4"/>
    <w:rsid w:val="64D23242"/>
    <w:rsid w:val="64F50291"/>
    <w:rsid w:val="653C5357"/>
    <w:rsid w:val="65631451"/>
    <w:rsid w:val="65F35145"/>
    <w:rsid w:val="6687625A"/>
    <w:rsid w:val="66A607EF"/>
    <w:rsid w:val="66B21CD0"/>
    <w:rsid w:val="677F7E04"/>
    <w:rsid w:val="67B246B9"/>
    <w:rsid w:val="67F4687F"/>
    <w:rsid w:val="67F91E72"/>
    <w:rsid w:val="68426352"/>
    <w:rsid w:val="68443BE2"/>
    <w:rsid w:val="684921C0"/>
    <w:rsid w:val="686F3355"/>
    <w:rsid w:val="68855E8C"/>
    <w:rsid w:val="688B6164"/>
    <w:rsid w:val="68954A90"/>
    <w:rsid w:val="68E4125B"/>
    <w:rsid w:val="6907473B"/>
    <w:rsid w:val="691C76D7"/>
    <w:rsid w:val="6922581D"/>
    <w:rsid w:val="69322E5B"/>
    <w:rsid w:val="69346BB9"/>
    <w:rsid w:val="69354BA7"/>
    <w:rsid w:val="695C41C7"/>
    <w:rsid w:val="697E554F"/>
    <w:rsid w:val="69D41C86"/>
    <w:rsid w:val="69E378AD"/>
    <w:rsid w:val="69EE194C"/>
    <w:rsid w:val="6A7D6AEA"/>
    <w:rsid w:val="6AA0057F"/>
    <w:rsid w:val="6ABF40D3"/>
    <w:rsid w:val="6AC30E04"/>
    <w:rsid w:val="6ADF10E7"/>
    <w:rsid w:val="6B282D32"/>
    <w:rsid w:val="6B3C64BC"/>
    <w:rsid w:val="6B491AFF"/>
    <w:rsid w:val="6B550C5D"/>
    <w:rsid w:val="6B63738C"/>
    <w:rsid w:val="6B6B1026"/>
    <w:rsid w:val="6B7E49FA"/>
    <w:rsid w:val="6B8F75C1"/>
    <w:rsid w:val="6BA017FF"/>
    <w:rsid w:val="6BBE487E"/>
    <w:rsid w:val="6BC93422"/>
    <w:rsid w:val="6BE148B2"/>
    <w:rsid w:val="6BEE2DE9"/>
    <w:rsid w:val="6BF916A0"/>
    <w:rsid w:val="6BFD653E"/>
    <w:rsid w:val="6C653646"/>
    <w:rsid w:val="6C657FDC"/>
    <w:rsid w:val="6C710455"/>
    <w:rsid w:val="6C951F56"/>
    <w:rsid w:val="6CFB5B2E"/>
    <w:rsid w:val="6D0F5DE4"/>
    <w:rsid w:val="6D163027"/>
    <w:rsid w:val="6D526D79"/>
    <w:rsid w:val="6D590BDA"/>
    <w:rsid w:val="6D8D56F1"/>
    <w:rsid w:val="6DD91111"/>
    <w:rsid w:val="6E3251BD"/>
    <w:rsid w:val="6E7D0E15"/>
    <w:rsid w:val="6EB13F09"/>
    <w:rsid w:val="6EDB6A16"/>
    <w:rsid w:val="6EF0344B"/>
    <w:rsid w:val="6F2B3DD6"/>
    <w:rsid w:val="6F450210"/>
    <w:rsid w:val="6F4A64B1"/>
    <w:rsid w:val="6F917E0E"/>
    <w:rsid w:val="6FAD5FC9"/>
    <w:rsid w:val="6FAE7281"/>
    <w:rsid w:val="6FB35483"/>
    <w:rsid w:val="70035CC4"/>
    <w:rsid w:val="70142E7A"/>
    <w:rsid w:val="70CF34B7"/>
    <w:rsid w:val="70E06A08"/>
    <w:rsid w:val="713E488C"/>
    <w:rsid w:val="716E055E"/>
    <w:rsid w:val="717A406F"/>
    <w:rsid w:val="71872273"/>
    <w:rsid w:val="71996002"/>
    <w:rsid w:val="719B2C89"/>
    <w:rsid w:val="7228495B"/>
    <w:rsid w:val="72716230"/>
    <w:rsid w:val="727562DF"/>
    <w:rsid w:val="727B1B10"/>
    <w:rsid w:val="728C208E"/>
    <w:rsid w:val="72FA7EBF"/>
    <w:rsid w:val="72FB548E"/>
    <w:rsid w:val="731E7EBF"/>
    <w:rsid w:val="73311D53"/>
    <w:rsid w:val="7350235A"/>
    <w:rsid w:val="737A3336"/>
    <w:rsid w:val="73A335D5"/>
    <w:rsid w:val="73B272CF"/>
    <w:rsid w:val="743312B9"/>
    <w:rsid w:val="747C15DA"/>
    <w:rsid w:val="74E34DA6"/>
    <w:rsid w:val="7510653F"/>
    <w:rsid w:val="75142546"/>
    <w:rsid w:val="75322959"/>
    <w:rsid w:val="75425188"/>
    <w:rsid w:val="75451F3B"/>
    <w:rsid w:val="755A3795"/>
    <w:rsid w:val="75855809"/>
    <w:rsid w:val="75A619A8"/>
    <w:rsid w:val="75FB0DA6"/>
    <w:rsid w:val="75FB2670"/>
    <w:rsid w:val="76006BE3"/>
    <w:rsid w:val="76515A23"/>
    <w:rsid w:val="768112B2"/>
    <w:rsid w:val="77202DD0"/>
    <w:rsid w:val="77417A7A"/>
    <w:rsid w:val="775938BB"/>
    <w:rsid w:val="778233A5"/>
    <w:rsid w:val="77BA5811"/>
    <w:rsid w:val="77BE0391"/>
    <w:rsid w:val="77EF3BAB"/>
    <w:rsid w:val="77FA2644"/>
    <w:rsid w:val="784238A2"/>
    <w:rsid w:val="784A2957"/>
    <w:rsid w:val="7850710C"/>
    <w:rsid w:val="78584E2A"/>
    <w:rsid w:val="787F58FE"/>
    <w:rsid w:val="78B074E6"/>
    <w:rsid w:val="78F757E2"/>
    <w:rsid w:val="79163B57"/>
    <w:rsid w:val="791B2661"/>
    <w:rsid w:val="79310F26"/>
    <w:rsid w:val="796A64F9"/>
    <w:rsid w:val="797E3518"/>
    <w:rsid w:val="7983031E"/>
    <w:rsid w:val="79864F0B"/>
    <w:rsid w:val="79ED0270"/>
    <w:rsid w:val="79FD6CC8"/>
    <w:rsid w:val="7A0948F8"/>
    <w:rsid w:val="7A283E83"/>
    <w:rsid w:val="7A7345D2"/>
    <w:rsid w:val="7A96505F"/>
    <w:rsid w:val="7AAC7669"/>
    <w:rsid w:val="7AE46908"/>
    <w:rsid w:val="7AEA76DD"/>
    <w:rsid w:val="7AFF5540"/>
    <w:rsid w:val="7B02692A"/>
    <w:rsid w:val="7B270B30"/>
    <w:rsid w:val="7B347459"/>
    <w:rsid w:val="7B433D8A"/>
    <w:rsid w:val="7B607E57"/>
    <w:rsid w:val="7B624FD2"/>
    <w:rsid w:val="7BD12ACB"/>
    <w:rsid w:val="7C0067E2"/>
    <w:rsid w:val="7C0331F1"/>
    <w:rsid w:val="7C1D7415"/>
    <w:rsid w:val="7C274045"/>
    <w:rsid w:val="7C3459C1"/>
    <w:rsid w:val="7C636DB1"/>
    <w:rsid w:val="7C764E13"/>
    <w:rsid w:val="7C8C5E43"/>
    <w:rsid w:val="7CC7574D"/>
    <w:rsid w:val="7CCB0C26"/>
    <w:rsid w:val="7CE26B65"/>
    <w:rsid w:val="7D00670E"/>
    <w:rsid w:val="7D4D7CE0"/>
    <w:rsid w:val="7D534CCE"/>
    <w:rsid w:val="7D7D4F2C"/>
    <w:rsid w:val="7DBE3BDC"/>
    <w:rsid w:val="7DC94270"/>
    <w:rsid w:val="7E1A0C0E"/>
    <w:rsid w:val="7ED45F48"/>
    <w:rsid w:val="7EE02088"/>
    <w:rsid w:val="7EEE6EDF"/>
    <w:rsid w:val="7F103855"/>
    <w:rsid w:val="7F2F7222"/>
    <w:rsid w:val="7F383200"/>
    <w:rsid w:val="7F4F4F0B"/>
    <w:rsid w:val="7F785EBA"/>
    <w:rsid w:val="7F7D704A"/>
    <w:rsid w:val="7FCE5367"/>
    <w:rsid w:val="7FD16678"/>
    <w:rsid w:val="7FFF4B0F"/>
    <w:rsid w:val="7FFF5B2E"/>
    <w:rsid w:val="B6F3A735"/>
    <w:rsid w:val="FA9FF031"/>
    <w:rsid w:val="FFBC43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8"/>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9"/>
    <w:qFormat/>
    <w:uiPriority w:val="0"/>
    <w:pPr>
      <w:keepNext/>
      <w:keepLines/>
      <w:spacing w:before="260" w:beforeLines="0" w:after="260" w:afterLines="0" w:line="413" w:lineRule="auto"/>
      <w:outlineLvl w:val="2"/>
    </w:pPr>
    <w:rPr>
      <w:b/>
      <w:sz w:val="32"/>
      <w:szCs w:val="20"/>
    </w:rPr>
  </w:style>
  <w:style w:type="paragraph" w:styleId="6">
    <w:name w:val="heading 4"/>
    <w:basedOn w:val="1"/>
    <w:next w:val="1"/>
    <w:link w:val="60"/>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beforeLines="0" w:after="290" w:afterLines="0" w:line="372" w:lineRule="auto"/>
      <w:outlineLvl w:val="4"/>
    </w:pPr>
    <w:rPr>
      <w:b/>
      <w:bCs/>
      <w:sz w:val="24"/>
      <w:szCs w:val="28"/>
    </w:rPr>
  </w:style>
  <w:style w:type="paragraph" w:styleId="8">
    <w:name w:val="heading 6"/>
    <w:basedOn w:val="1"/>
    <w:next w:val="1"/>
    <w:qFormat/>
    <w:uiPriority w:val="0"/>
    <w:pPr>
      <w:keepNext/>
      <w:keepLines/>
      <w:numPr>
        <w:ilvl w:val="5"/>
        <w:numId w:val="1"/>
      </w:numPr>
      <w:spacing w:before="240" w:beforeLines="0" w:after="64" w:afterLines="0" w:line="317" w:lineRule="auto"/>
      <w:outlineLvl w:val="5"/>
    </w:pPr>
    <w:rPr>
      <w:rFonts w:ascii="Cambria" w:hAnsi="Cambria"/>
      <w:b/>
      <w:bCs/>
      <w:sz w:val="24"/>
      <w:szCs w:val="24"/>
    </w:rPr>
  </w:style>
  <w:style w:type="paragraph" w:styleId="9">
    <w:name w:val="heading 7"/>
    <w:basedOn w:val="1"/>
    <w:next w:val="1"/>
    <w:qFormat/>
    <w:uiPriority w:val="0"/>
    <w:pPr>
      <w:keepNext/>
      <w:keepLines/>
      <w:numPr>
        <w:ilvl w:val="6"/>
        <w:numId w:val="1"/>
      </w:numPr>
      <w:spacing w:before="240" w:beforeLines="0" w:after="64" w:afterLines="0" w:line="317" w:lineRule="auto"/>
      <w:outlineLvl w:val="6"/>
    </w:pPr>
    <w:rPr>
      <w:b/>
      <w:bCs/>
      <w:sz w:val="24"/>
      <w:szCs w:val="24"/>
    </w:rPr>
  </w:style>
  <w:style w:type="character" w:default="1" w:styleId="40">
    <w:name w:val="Default Paragraph Font"/>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0">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1">
    <w:name w:val="Normal Indent"/>
    <w:basedOn w:val="1"/>
    <w:link w:val="61"/>
    <w:qFormat/>
    <w:uiPriority w:val="0"/>
    <w:pPr>
      <w:ind w:firstLine="420"/>
    </w:pPr>
    <w:rPr>
      <w:szCs w:val="20"/>
    </w:rPr>
  </w:style>
  <w:style w:type="paragraph" w:styleId="12">
    <w:name w:val="caption"/>
    <w:basedOn w:val="1"/>
    <w:next w:val="1"/>
    <w:qFormat/>
    <w:uiPriority w:val="0"/>
    <w:pPr>
      <w:spacing w:before="152" w:beforeLines="0" w:after="160" w:afterLines="0"/>
    </w:pPr>
    <w:rPr>
      <w:rFonts w:ascii="Arial" w:hAnsi="Arial" w:eastAsia="黑体" w:cs="Arial"/>
      <w:sz w:val="20"/>
      <w:szCs w:val="20"/>
    </w:rPr>
  </w:style>
  <w:style w:type="paragraph" w:styleId="13">
    <w:name w:val="Document Map"/>
    <w:basedOn w:val="1"/>
    <w:qFormat/>
    <w:uiPriority w:val="0"/>
    <w:pPr>
      <w:shd w:val="clear" w:color="auto" w:fill="000080"/>
    </w:pPr>
  </w:style>
  <w:style w:type="paragraph" w:styleId="14">
    <w:name w:val="annotation text"/>
    <w:basedOn w:val="1"/>
    <w:link w:val="62"/>
    <w:qFormat/>
    <w:uiPriority w:val="0"/>
    <w:pPr>
      <w:jc w:val="left"/>
    </w:pPr>
    <w:rPr>
      <w:szCs w:val="20"/>
    </w:rPr>
  </w:style>
  <w:style w:type="paragraph" w:styleId="15">
    <w:name w:val="Body Text 3"/>
    <w:basedOn w:val="1"/>
    <w:qFormat/>
    <w:uiPriority w:val="0"/>
    <w:pPr>
      <w:snapToGrid w:val="0"/>
      <w:spacing w:before="50" w:beforeLines="0" w:after="50" w:afterLines="0"/>
    </w:pPr>
    <w:rPr>
      <w:rFonts w:hAnsi="宋体" w:eastAsia="仿宋_GB2312"/>
      <w:b/>
      <w:bCs/>
      <w:sz w:val="24"/>
      <w:szCs w:val="20"/>
    </w:rPr>
  </w:style>
  <w:style w:type="paragraph" w:styleId="16">
    <w:name w:val="Body Text"/>
    <w:basedOn w:val="1"/>
    <w:next w:val="1"/>
    <w:qFormat/>
    <w:uiPriority w:val="0"/>
    <w:pPr>
      <w:spacing w:after="120" w:afterLines="0"/>
    </w:pPr>
    <w:rPr>
      <w:sz w:val="28"/>
    </w:rPr>
  </w:style>
  <w:style w:type="paragraph" w:styleId="17">
    <w:name w:val="Body Text Indent"/>
    <w:basedOn w:val="1"/>
    <w:next w:val="1"/>
    <w:link w:val="63"/>
    <w:qFormat/>
    <w:uiPriority w:val="0"/>
    <w:pPr>
      <w:spacing w:line="200" w:lineRule="exact"/>
      <w:ind w:firstLine="301"/>
    </w:pPr>
    <w:rPr>
      <w:rFonts w:ascii="宋体" w:hAnsi="Courier New"/>
      <w:spacing w:val="-4"/>
      <w:sz w:val="18"/>
      <w:szCs w:val="20"/>
    </w:rPr>
  </w:style>
  <w:style w:type="paragraph" w:styleId="18">
    <w:name w:val="List Number 3"/>
    <w:basedOn w:val="1"/>
    <w:qFormat/>
    <w:uiPriority w:val="0"/>
    <w:pPr>
      <w:numPr>
        <w:ilvl w:val="0"/>
        <w:numId w:val="2"/>
      </w:numPr>
    </w:pPr>
  </w:style>
  <w:style w:type="paragraph" w:styleId="19">
    <w:name w:val="List 2"/>
    <w:basedOn w:val="1"/>
    <w:qFormat/>
    <w:uiPriority w:val="0"/>
    <w:pPr>
      <w:ind w:left="100" w:leftChars="200" w:hanging="200" w:hangingChars="200"/>
    </w:pPr>
    <w:rPr>
      <w:sz w:val="28"/>
    </w:rPr>
  </w:style>
  <w:style w:type="paragraph" w:styleId="20">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21">
    <w:name w:val="HTML Address"/>
    <w:basedOn w:val="1"/>
    <w:link w:val="64"/>
    <w:qFormat/>
    <w:uiPriority w:val="0"/>
    <w:pPr>
      <w:widowControl/>
      <w:jc w:val="left"/>
    </w:pPr>
    <w:rPr>
      <w:rFonts w:ascii="宋体" w:hAnsi="宋体"/>
      <w:i/>
      <w:iCs/>
      <w:kern w:val="0"/>
      <w:sz w:val="24"/>
    </w:rPr>
  </w:style>
  <w:style w:type="paragraph" w:styleId="22">
    <w:name w:val="Plain Text"/>
    <w:basedOn w:val="1"/>
    <w:next w:val="16"/>
    <w:link w:val="65"/>
    <w:qFormat/>
    <w:uiPriority w:val="0"/>
    <w:pPr>
      <w:spacing w:before="156" w:beforeLines="50" w:after="156" w:afterLines="50" w:line="400" w:lineRule="exact"/>
    </w:pPr>
    <w:rPr>
      <w:rFonts w:ascii="宋体" w:hAnsi="Courier New"/>
      <w:sz w:val="24"/>
    </w:rPr>
  </w:style>
  <w:style w:type="paragraph" w:styleId="23">
    <w:name w:val="Date"/>
    <w:basedOn w:val="1"/>
    <w:next w:val="1"/>
    <w:link w:val="66"/>
    <w:qFormat/>
    <w:uiPriority w:val="0"/>
    <w:pPr>
      <w:ind w:leftChars="2500"/>
    </w:pPr>
    <w:rPr>
      <w:rFonts w:eastAsia="楷体_GB2312"/>
      <w:sz w:val="32"/>
      <w:szCs w:val="20"/>
    </w:rPr>
  </w:style>
  <w:style w:type="paragraph" w:styleId="24">
    <w:name w:val="Body Text Indent 2"/>
    <w:basedOn w:val="1"/>
    <w:qFormat/>
    <w:uiPriority w:val="0"/>
    <w:pPr>
      <w:snapToGrid w:val="0"/>
      <w:ind w:firstLine="542" w:firstLineChars="225"/>
    </w:pPr>
    <w:rPr>
      <w:rFonts w:ascii="仿宋_GB2312" w:hAnsi="宋体" w:cs="Arial"/>
      <w:b/>
      <w:bCs/>
      <w:color w:val="000000"/>
      <w:sz w:val="24"/>
    </w:rPr>
  </w:style>
  <w:style w:type="paragraph" w:styleId="25">
    <w:name w:val="Balloon Text"/>
    <w:basedOn w:val="1"/>
    <w:qFormat/>
    <w:uiPriority w:val="0"/>
    <w:rPr>
      <w:sz w:val="18"/>
      <w:szCs w:val="18"/>
    </w:rPr>
  </w:style>
  <w:style w:type="paragraph" w:styleId="26">
    <w:name w:val="footer"/>
    <w:basedOn w:val="1"/>
    <w:link w:val="57"/>
    <w:qFormat/>
    <w:uiPriority w:val="0"/>
    <w:pPr>
      <w:tabs>
        <w:tab w:val="center" w:pos="4153"/>
        <w:tab w:val="right" w:pos="8306"/>
      </w:tabs>
      <w:snapToGrid w:val="0"/>
      <w:jc w:val="left"/>
    </w:pPr>
    <w:rPr>
      <w:rFonts w:eastAsia="黑体"/>
      <w:snapToGrid w:val="0"/>
      <w:kern w:val="0"/>
      <w:sz w:val="18"/>
      <w:szCs w:val="18"/>
    </w:rPr>
  </w:style>
  <w:style w:type="paragraph" w:styleId="27">
    <w:name w:val="header"/>
    <w:basedOn w:val="1"/>
    <w:link w:val="67"/>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0"/>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0"/>
    <w:pPr>
      <w:ind w:left="1200"/>
      <w:jc w:val="left"/>
    </w:pPr>
    <w:rPr>
      <w:rFonts w:ascii="Calibri"/>
      <w:sz w:val="18"/>
      <w:szCs w:val="18"/>
    </w:rPr>
  </w:style>
  <w:style w:type="paragraph" w:styleId="31">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2">
    <w:name w:val="toc 2"/>
    <w:basedOn w:val="1"/>
    <w:next w:val="1"/>
    <w:qFormat/>
    <w:uiPriority w:val="39"/>
    <w:pPr>
      <w:ind w:left="420" w:leftChars="200"/>
    </w:pPr>
  </w:style>
  <w:style w:type="paragraph" w:styleId="33">
    <w:name w:val="Body Text 2"/>
    <w:basedOn w:val="1"/>
    <w:qFormat/>
    <w:uiPriority w:val="0"/>
    <w:pPr>
      <w:widowControl/>
      <w:snapToGrid w:val="0"/>
      <w:spacing w:before="50" w:beforeLines="0" w:after="156" w:afterLines="50" w:line="400" w:lineRule="exact"/>
      <w:jc w:val="left"/>
    </w:pPr>
    <w:rPr>
      <w:rFonts w:ascii="宋体" w:hAnsi="宋体"/>
      <w:color w:val="000000"/>
      <w:sz w:val="24"/>
    </w:rPr>
  </w:style>
  <w:style w:type="paragraph" w:styleId="34">
    <w:name w:val="Normal (Web)"/>
    <w:basedOn w:val="1"/>
    <w:qFormat/>
    <w:uiPriority w:val="0"/>
    <w:pPr>
      <w:widowControl/>
      <w:spacing w:before="100" w:beforeLines="0" w:beforeAutospacing="1" w:after="100" w:afterLines="0" w:afterAutospacing="1"/>
      <w:jc w:val="left"/>
    </w:pPr>
    <w:rPr>
      <w:kern w:val="0"/>
      <w:sz w:val="24"/>
    </w:rPr>
  </w:style>
  <w:style w:type="paragraph" w:styleId="35">
    <w:name w:val="annotation subject"/>
    <w:basedOn w:val="14"/>
    <w:next w:val="14"/>
    <w:link w:val="68"/>
    <w:qFormat/>
    <w:uiPriority w:val="0"/>
  </w:style>
  <w:style w:type="paragraph" w:styleId="36">
    <w:name w:val="Body Text First Indent"/>
    <w:basedOn w:val="16"/>
    <w:next w:val="1"/>
    <w:qFormat/>
    <w:uiPriority w:val="0"/>
    <w:pPr>
      <w:ind w:firstLine="420" w:firstLineChars="100"/>
    </w:pPr>
    <w:rPr>
      <w:rFonts w:ascii="Calibri" w:hAnsi="Calibri"/>
      <w:sz w:val="21"/>
      <w:szCs w:val="22"/>
    </w:rPr>
  </w:style>
  <w:style w:type="paragraph" w:styleId="37">
    <w:name w:val="Body Text First Indent 2"/>
    <w:basedOn w:val="17"/>
    <w:next w:val="1"/>
    <w:qFormat/>
    <w:uiPriority w:val="0"/>
    <w:pPr>
      <w:ind w:firstLine="420" w:firstLineChars="200"/>
    </w:pPr>
    <w:rPr>
      <w:rFonts w:ascii="Times New Roman" w:hAnsi="Times New Roman" w:eastAsia="宋体" w:cs="Times New Roman"/>
      <w:lang w:val="zh-CN"/>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0"/>
    <w:rPr>
      <w:color w:val="333333"/>
      <w:u w:val="none"/>
    </w:rPr>
  </w:style>
  <w:style w:type="character" w:styleId="44">
    <w:name w:val="Emphasis"/>
    <w:qFormat/>
    <w:uiPriority w:val="0"/>
  </w:style>
  <w:style w:type="character" w:styleId="45">
    <w:name w:val="HTML Definition"/>
    <w:qFormat/>
    <w:uiPriority w:val="0"/>
  </w:style>
  <w:style w:type="character" w:styleId="46">
    <w:name w:val="HTML Typewriter"/>
    <w:qFormat/>
    <w:uiPriority w:val="0"/>
    <w:rPr>
      <w:rFonts w:ascii="Courier New" w:hAnsi="Courier New"/>
      <w:sz w:val="24"/>
      <w:szCs w:val="24"/>
    </w:rPr>
  </w:style>
  <w:style w:type="character" w:styleId="47">
    <w:name w:val="HTML Acronym"/>
    <w:qFormat/>
    <w:uiPriority w:val="0"/>
  </w:style>
  <w:style w:type="character" w:styleId="48">
    <w:name w:val="HTML Variable"/>
    <w:qFormat/>
    <w:uiPriority w:val="0"/>
  </w:style>
  <w:style w:type="character" w:styleId="49">
    <w:name w:val="Hyperlink"/>
    <w:qFormat/>
    <w:uiPriority w:val="0"/>
    <w:rPr>
      <w:color w:val="333333"/>
      <w:u w:val="none"/>
    </w:rPr>
  </w:style>
  <w:style w:type="character" w:styleId="50">
    <w:name w:val="HTML Code"/>
    <w:qFormat/>
    <w:uiPriority w:val="0"/>
    <w:rPr>
      <w:rFonts w:ascii="Courier New" w:hAnsi="Courier New"/>
      <w:sz w:val="24"/>
      <w:szCs w:val="24"/>
    </w:rPr>
  </w:style>
  <w:style w:type="character" w:styleId="51">
    <w:name w:val="annotation reference"/>
    <w:qFormat/>
    <w:uiPriority w:val="0"/>
    <w:rPr>
      <w:sz w:val="21"/>
      <w:szCs w:val="21"/>
    </w:rPr>
  </w:style>
  <w:style w:type="character" w:styleId="52">
    <w:name w:val="HTML Cite"/>
    <w:qFormat/>
    <w:uiPriority w:val="0"/>
  </w:style>
  <w:style w:type="character" w:styleId="53">
    <w:name w:val="HTML Keyboard"/>
    <w:qFormat/>
    <w:uiPriority w:val="0"/>
    <w:rPr>
      <w:rFonts w:ascii="Courier New" w:hAnsi="Courier New"/>
      <w:sz w:val="24"/>
      <w:szCs w:val="24"/>
    </w:rPr>
  </w:style>
  <w:style w:type="character" w:styleId="54">
    <w:name w:val="HTML Sample"/>
    <w:qFormat/>
    <w:uiPriority w:val="0"/>
    <w:rPr>
      <w:rFonts w:ascii="Courier New" w:hAnsi="Courier New"/>
      <w:sz w:val="24"/>
      <w:szCs w:val="24"/>
    </w:rPr>
  </w:style>
  <w:style w:type="paragraph" w:customStyle="1" w:styleId="55">
    <w:name w:val="Default"/>
    <w:next w:val="5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7">
    <w:name w:val="页脚 字符"/>
    <w:link w:val="26"/>
    <w:qFormat/>
    <w:uiPriority w:val="0"/>
    <w:rPr>
      <w:rFonts w:eastAsia="黑体"/>
      <w:snapToGrid w:val="0"/>
      <w:sz w:val="18"/>
      <w:szCs w:val="18"/>
      <w:lang w:val="en-US" w:eastAsia="zh-CN" w:bidi="ar-SA"/>
    </w:rPr>
  </w:style>
  <w:style w:type="character" w:customStyle="1" w:styleId="58">
    <w:name w:val="标题 2 字符"/>
    <w:link w:val="4"/>
    <w:qFormat/>
    <w:uiPriority w:val="0"/>
    <w:rPr>
      <w:rFonts w:ascii="Arial" w:hAnsi="Arial" w:eastAsia="黑体"/>
      <w:b/>
      <w:bCs/>
      <w:kern w:val="2"/>
      <w:sz w:val="32"/>
      <w:szCs w:val="32"/>
      <w:lang w:val="en-US" w:eastAsia="zh-CN" w:bidi="ar-SA"/>
    </w:rPr>
  </w:style>
  <w:style w:type="character" w:customStyle="1" w:styleId="59">
    <w:name w:val="标题 3 字符"/>
    <w:link w:val="5"/>
    <w:qFormat/>
    <w:uiPriority w:val="0"/>
    <w:rPr>
      <w:b/>
      <w:kern w:val="2"/>
      <w:sz w:val="32"/>
    </w:rPr>
  </w:style>
  <w:style w:type="character" w:customStyle="1" w:styleId="60">
    <w:name w:val="标题 4 字符"/>
    <w:link w:val="6"/>
    <w:qFormat/>
    <w:uiPriority w:val="0"/>
    <w:rPr>
      <w:rFonts w:ascii="Arial" w:hAnsi="Arial" w:eastAsia="黑体"/>
      <w:b/>
      <w:bCs/>
      <w:kern w:val="2"/>
      <w:sz w:val="28"/>
      <w:szCs w:val="28"/>
    </w:rPr>
  </w:style>
  <w:style w:type="character" w:customStyle="1" w:styleId="61">
    <w:name w:val="正文缩进 字符"/>
    <w:link w:val="11"/>
    <w:qFormat/>
    <w:uiPriority w:val="0"/>
    <w:rPr>
      <w:kern w:val="2"/>
      <w:sz w:val="21"/>
    </w:rPr>
  </w:style>
  <w:style w:type="character" w:customStyle="1" w:styleId="62">
    <w:name w:val="批注文字 字符"/>
    <w:link w:val="14"/>
    <w:qFormat/>
    <w:uiPriority w:val="0"/>
    <w:rPr>
      <w:kern w:val="2"/>
      <w:sz w:val="21"/>
    </w:rPr>
  </w:style>
  <w:style w:type="character" w:customStyle="1" w:styleId="63">
    <w:name w:val="正文文本缩进 字符"/>
    <w:link w:val="17"/>
    <w:qFormat/>
    <w:uiPriority w:val="0"/>
    <w:rPr>
      <w:rFonts w:ascii="宋体" w:hAnsi="Courier New"/>
      <w:spacing w:val="-4"/>
      <w:kern w:val="2"/>
      <w:sz w:val="18"/>
    </w:rPr>
  </w:style>
  <w:style w:type="character" w:customStyle="1" w:styleId="64">
    <w:name w:val="HTML 地址 字符"/>
    <w:link w:val="21"/>
    <w:qFormat/>
    <w:uiPriority w:val="0"/>
    <w:rPr>
      <w:rFonts w:ascii="宋体" w:hAnsi="宋体"/>
      <w:i/>
      <w:iCs/>
      <w:sz w:val="24"/>
      <w:szCs w:val="24"/>
    </w:rPr>
  </w:style>
  <w:style w:type="character" w:customStyle="1" w:styleId="65">
    <w:name w:val="纯文本 字符"/>
    <w:link w:val="22"/>
    <w:qFormat/>
    <w:uiPriority w:val="0"/>
    <w:rPr>
      <w:rFonts w:ascii="宋体" w:hAnsi="Courier New" w:eastAsia="宋体"/>
      <w:kern w:val="2"/>
      <w:sz w:val="24"/>
      <w:szCs w:val="24"/>
      <w:lang w:val="en-US" w:eastAsia="zh-CN" w:bidi="ar-SA"/>
    </w:rPr>
  </w:style>
  <w:style w:type="character" w:customStyle="1" w:styleId="66">
    <w:name w:val="日期 字符"/>
    <w:link w:val="23"/>
    <w:qFormat/>
    <w:uiPriority w:val="0"/>
    <w:rPr>
      <w:rFonts w:eastAsia="楷体_GB2312"/>
      <w:kern w:val="2"/>
      <w:sz w:val="32"/>
    </w:rPr>
  </w:style>
  <w:style w:type="character" w:customStyle="1" w:styleId="67">
    <w:name w:val="页眉 字符"/>
    <w:link w:val="27"/>
    <w:qFormat/>
    <w:uiPriority w:val="0"/>
    <w:rPr>
      <w:rFonts w:eastAsia="仿宋_GB2312"/>
      <w:kern w:val="2"/>
      <w:sz w:val="18"/>
    </w:rPr>
  </w:style>
  <w:style w:type="character" w:customStyle="1" w:styleId="68">
    <w:name w:val="批注主题 字符"/>
    <w:link w:val="35"/>
    <w:qFormat/>
    <w:uiPriority w:val="0"/>
  </w:style>
  <w:style w:type="paragraph" w:customStyle="1" w:styleId="69">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0">
    <w:name w:val="newsdate"/>
    <w:qFormat/>
    <w:uiPriority w:val="0"/>
  </w:style>
  <w:style w:type="character" w:customStyle="1" w:styleId="71">
    <w:name w:val="批注文字 Char1"/>
    <w:qFormat/>
    <w:uiPriority w:val="0"/>
    <w:rPr>
      <w:rFonts w:ascii="Tahoma" w:hAnsi="Tahoma"/>
      <w:kern w:val="2"/>
      <w:sz w:val="21"/>
      <w:szCs w:val="24"/>
    </w:rPr>
  </w:style>
  <w:style w:type="character" w:customStyle="1" w:styleId="72">
    <w:name w:val="列出段落 Char"/>
    <w:link w:val="73"/>
    <w:qFormat/>
    <w:uiPriority w:val="0"/>
    <w:rPr>
      <w:rFonts w:ascii="Calibri" w:hAnsi="Calibri"/>
      <w:kern w:val="2"/>
      <w:sz w:val="21"/>
      <w:szCs w:val="22"/>
    </w:rPr>
  </w:style>
  <w:style w:type="paragraph" w:customStyle="1" w:styleId="73">
    <w:name w:val="列出段落1"/>
    <w:basedOn w:val="1"/>
    <w:link w:val="72"/>
    <w:qFormat/>
    <w:uiPriority w:val="0"/>
    <w:pPr>
      <w:ind w:firstLine="420" w:firstLineChars="200"/>
    </w:pPr>
    <w:rPr>
      <w:rFonts w:ascii="Calibri" w:hAnsi="Calibri"/>
      <w:szCs w:val="22"/>
    </w:rPr>
  </w:style>
  <w:style w:type="character" w:customStyle="1" w:styleId="74">
    <w:name w:val="表格 Char"/>
    <w:link w:val="75"/>
    <w:qFormat/>
    <w:uiPriority w:val="0"/>
    <w:rPr>
      <w:rFonts w:eastAsia="仿宋_GB2312"/>
      <w:sz w:val="24"/>
    </w:rPr>
  </w:style>
  <w:style w:type="paragraph" w:customStyle="1" w:styleId="75">
    <w:name w:val="表格"/>
    <w:basedOn w:val="1"/>
    <w:link w:val="74"/>
    <w:qFormat/>
    <w:uiPriority w:val="0"/>
    <w:rPr>
      <w:rFonts w:eastAsia="仿宋_GB2312"/>
      <w:kern w:val="0"/>
      <w:sz w:val="24"/>
      <w:szCs w:val="20"/>
    </w:rPr>
  </w:style>
  <w:style w:type="character" w:customStyle="1" w:styleId="76">
    <w:name w:val="font12"/>
    <w:qFormat/>
    <w:uiPriority w:val="0"/>
    <w:rPr>
      <w:rFonts w:ascii="幼圆" w:hAnsi="幼圆" w:eastAsia="幼圆" w:cs="幼圆"/>
      <w:color w:val="000000"/>
      <w:sz w:val="24"/>
      <w:szCs w:val="24"/>
      <w:u w:val="none"/>
    </w:rPr>
  </w:style>
  <w:style w:type="character" w:customStyle="1" w:styleId="77">
    <w:name w:val="Char Char1"/>
    <w:qFormat/>
    <w:uiPriority w:val="0"/>
    <w:rPr>
      <w:rFonts w:ascii="宋体" w:hAnsi="Courier New" w:eastAsia="宋体" w:cs="Courier New"/>
      <w:kern w:val="2"/>
      <w:sz w:val="21"/>
      <w:szCs w:val="21"/>
      <w:lang w:val="en-US" w:eastAsia="zh-CN" w:bidi="ar-SA"/>
    </w:rPr>
  </w:style>
  <w:style w:type="character" w:customStyle="1" w:styleId="78">
    <w:name w:val="Font Style16"/>
    <w:qFormat/>
    <w:uiPriority w:val="0"/>
    <w:rPr>
      <w:rFonts w:ascii="宋体" w:eastAsia="宋体" w:cs="宋体"/>
      <w:b/>
      <w:bCs/>
    </w:rPr>
  </w:style>
  <w:style w:type="character" w:customStyle="1" w:styleId="79">
    <w:name w:val="xxggcat"/>
    <w:qFormat/>
    <w:uiPriority w:val="0"/>
    <w:rPr>
      <w:color w:val="007E09"/>
    </w:rPr>
  </w:style>
  <w:style w:type="character" w:customStyle="1" w:styleId="80">
    <w:name w:val="font81"/>
    <w:qFormat/>
    <w:uiPriority w:val="0"/>
    <w:rPr>
      <w:rFonts w:hint="eastAsia" w:ascii="宋体" w:hAnsi="宋体" w:eastAsia="宋体" w:cs="宋体"/>
      <w:b/>
      <w:color w:val="000000"/>
      <w:sz w:val="21"/>
      <w:szCs w:val="21"/>
      <w:u w:val="none"/>
    </w:rPr>
  </w:style>
  <w:style w:type="character" w:customStyle="1" w:styleId="81">
    <w:name w:val="cr3 Char Char"/>
    <w:link w:val="82"/>
    <w:qFormat/>
    <w:uiPriority w:val="0"/>
    <w:rPr>
      <w:rFonts w:eastAsia="黑体"/>
      <w:b/>
      <w:bCs/>
      <w:kern w:val="2"/>
      <w:sz w:val="32"/>
      <w:szCs w:val="32"/>
    </w:rPr>
  </w:style>
  <w:style w:type="paragraph" w:customStyle="1" w:styleId="82">
    <w:name w:val="cr3"/>
    <w:basedOn w:val="5"/>
    <w:next w:val="83"/>
    <w:link w:val="81"/>
    <w:qFormat/>
    <w:uiPriority w:val="0"/>
    <w:pPr>
      <w:numPr>
        <w:ilvl w:val="2"/>
        <w:numId w:val="3"/>
      </w:numPr>
      <w:spacing w:line="240" w:lineRule="auto"/>
      <w:outlineLvl w:val="1"/>
    </w:pPr>
    <w:rPr>
      <w:rFonts w:eastAsia="黑体"/>
      <w:bCs/>
      <w:szCs w:val="32"/>
    </w:rPr>
  </w:style>
  <w:style w:type="paragraph" w:customStyle="1" w:styleId="83">
    <w:name w:val="cr4"/>
    <w:basedOn w:val="6"/>
    <w:next w:val="1"/>
    <w:link w:val="84"/>
    <w:qFormat/>
    <w:uiPriority w:val="0"/>
    <w:pPr>
      <w:tabs>
        <w:tab w:val="left" w:pos="645"/>
      </w:tabs>
      <w:spacing w:before="25" w:beforeLines="0" w:after="25" w:afterLines="0" w:line="300" w:lineRule="auto"/>
      <w:ind w:left="420" w:hanging="420"/>
      <w:outlineLvl w:val="2"/>
    </w:pPr>
    <w:rPr>
      <w:rFonts w:ascii="黑体" w:hAnsi="宋体"/>
      <w:bCs w:val="0"/>
      <w:color w:val="000000"/>
      <w:kern w:val="0"/>
    </w:rPr>
  </w:style>
  <w:style w:type="character" w:customStyle="1" w:styleId="84">
    <w:name w:val="cr4 Char Char"/>
    <w:link w:val="83"/>
    <w:qFormat/>
    <w:uiPriority w:val="0"/>
    <w:rPr>
      <w:rFonts w:ascii="黑体" w:hAnsi="宋体" w:eastAsia="黑体"/>
      <w:b/>
      <w:color w:val="000000"/>
      <w:sz w:val="28"/>
      <w:szCs w:val="28"/>
    </w:rPr>
  </w:style>
  <w:style w:type="character" w:customStyle="1" w:styleId="85">
    <w:name w:val="页眉 Char"/>
    <w:qFormat/>
    <w:uiPriority w:val="0"/>
    <w:rPr>
      <w:sz w:val="18"/>
      <w:szCs w:val="18"/>
    </w:rPr>
  </w:style>
  <w:style w:type="character" w:customStyle="1" w:styleId="86">
    <w:name w:val="font13"/>
    <w:qFormat/>
    <w:uiPriority w:val="0"/>
    <w:rPr>
      <w:rFonts w:hint="eastAsia" w:ascii="微软雅黑" w:hAnsi="微软雅黑" w:eastAsia="微软雅黑" w:cs="微软雅黑"/>
      <w:color w:val="000000"/>
      <w:sz w:val="28"/>
      <w:szCs w:val="28"/>
      <w:u w:val="none"/>
    </w:rPr>
  </w:style>
  <w:style w:type="character" w:customStyle="1" w:styleId="87">
    <w:name w:val="font111"/>
    <w:qFormat/>
    <w:uiPriority w:val="0"/>
    <w:rPr>
      <w:rFonts w:hint="default" w:ascii="Times New Roman" w:hAnsi="Times New Roman" w:cs="Times New Roman"/>
      <w:b/>
      <w:color w:val="000000"/>
      <w:sz w:val="21"/>
      <w:szCs w:val="21"/>
      <w:u w:val="none"/>
    </w:rPr>
  </w:style>
  <w:style w:type="character" w:customStyle="1" w:styleId="88">
    <w:name w:val="font01"/>
    <w:qFormat/>
    <w:uiPriority w:val="0"/>
    <w:rPr>
      <w:rFonts w:hint="eastAsia" w:ascii="宋体" w:hAnsi="宋体" w:eastAsia="宋体" w:cs="宋体"/>
      <w:color w:val="000000"/>
      <w:sz w:val="22"/>
      <w:szCs w:val="22"/>
      <w:u w:val="none"/>
    </w:rPr>
  </w:style>
  <w:style w:type="character" w:customStyle="1" w:styleId="89">
    <w:name w:val="普通文字 Char Char1"/>
    <w:qFormat/>
    <w:uiPriority w:val="0"/>
    <w:rPr>
      <w:rFonts w:ascii="宋体" w:hAnsi="Courier New" w:eastAsia="宋体"/>
      <w:kern w:val="2"/>
      <w:sz w:val="24"/>
      <w:szCs w:val="24"/>
      <w:lang w:val="en-US" w:eastAsia="zh-CN" w:bidi="ar-SA"/>
    </w:rPr>
  </w:style>
  <w:style w:type="character" w:customStyle="1" w:styleId="90">
    <w:name w:val="font51"/>
    <w:qFormat/>
    <w:uiPriority w:val="0"/>
    <w:rPr>
      <w:rFonts w:hint="default" w:ascii="Times New Roman" w:hAnsi="Times New Roman" w:cs="Times New Roman"/>
      <w:color w:val="000000"/>
      <w:sz w:val="21"/>
      <w:szCs w:val="21"/>
      <w:u w:val="none"/>
    </w:rPr>
  </w:style>
  <w:style w:type="character" w:customStyle="1" w:styleId="91">
    <w:name w:val="Font Style14"/>
    <w:qFormat/>
    <w:uiPriority w:val="0"/>
    <w:rPr>
      <w:rFonts w:ascii="宋体" w:eastAsia="宋体" w:cs="宋体"/>
    </w:rPr>
  </w:style>
  <w:style w:type="character" w:customStyle="1" w:styleId="92">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93">
    <w:name w:val="纯文本 Char1"/>
    <w:qFormat/>
    <w:uiPriority w:val="0"/>
    <w:rPr>
      <w:rFonts w:ascii="宋体" w:hAnsi="Courier New" w:eastAsia="宋体" w:cs="Courier New"/>
      <w:kern w:val="2"/>
      <w:sz w:val="21"/>
      <w:szCs w:val="21"/>
      <w:lang w:val="en-US" w:eastAsia="zh-CN" w:bidi="ar-SA"/>
    </w:rPr>
  </w:style>
  <w:style w:type="character" w:customStyle="1" w:styleId="94">
    <w:name w:val="layui-laypage-curr"/>
    <w:qFormat/>
    <w:uiPriority w:val="0"/>
  </w:style>
  <w:style w:type="character" w:customStyle="1" w:styleId="95">
    <w:name w:val="font91"/>
    <w:qFormat/>
    <w:uiPriority w:val="0"/>
    <w:rPr>
      <w:rFonts w:hint="eastAsia" w:ascii="微软雅黑" w:hAnsi="微软雅黑" w:eastAsia="微软雅黑" w:cs="微软雅黑"/>
      <w:color w:val="000000"/>
      <w:sz w:val="28"/>
      <w:szCs w:val="28"/>
      <w:u w:val="none"/>
    </w:rPr>
  </w:style>
  <w:style w:type="character" w:customStyle="1" w:styleId="96">
    <w:name w:val="font31"/>
    <w:qFormat/>
    <w:uiPriority w:val="0"/>
    <w:rPr>
      <w:rFonts w:ascii="Calibri" w:hAnsi="Calibri" w:cs="Calibri"/>
      <w:color w:val="000000"/>
      <w:sz w:val="21"/>
      <w:szCs w:val="21"/>
      <w:u w:val="none"/>
    </w:rPr>
  </w:style>
  <w:style w:type="character" w:customStyle="1" w:styleId="97">
    <w:name w:val="font41"/>
    <w:qFormat/>
    <w:uiPriority w:val="0"/>
    <w:rPr>
      <w:rFonts w:hint="eastAsia" w:ascii="宋体" w:hAnsi="宋体" w:eastAsia="宋体" w:cs="宋体"/>
      <w:color w:val="000000"/>
      <w:sz w:val="22"/>
      <w:szCs w:val="22"/>
      <w:u w:val="none"/>
    </w:rPr>
  </w:style>
  <w:style w:type="character" w:customStyle="1" w:styleId="98">
    <w:name w:val="Subtle Emphasis"/>
    <w:qFormat/>
    <w:uiPriority w:val="0"/>
    <w:rPr>
      <w:i/>
      <w:iCs/>
      <w:color w:val="404040"/>
    </w:rPr>
  </w:style>
  <w:style w:type="character" w:customStyle="1" w:styleId="99">
    <w:name w:val="font21"/>
    <w:qFormat/>
    <w:uiPriority w:val="0"/>
    <w:rPr>
      <w:rFonts w:hint="eastAsia" w:ascii="宋体" w:hAnsi="宋体" w:eastAsia="宋体" w:cs="宋体"/>
      <w:color w:val="000000"/>
      <w:sz w:val="21"/>
      <w:szCs w:val="21"/>
      <w:u w:val="none"/>
    </w:rPr>
  </w:style>
  <w:style w:type="paragraph" w:customStyle="1" w:styleId="100">
    <w:name w:val=" Char Char Char Char Char Char Char Char Char Char Char Char1 Char"/>
    <w:basedOn w:val="13"/>
    <w:qFormat/>
    <w:uiPriority w:val="0"/>
    <w:rPr>
      <w:rFonts w:ascii="Tahoma" w:hAnsi="Tahoma"/>
      <w:sz w:val="24"/>
    </w:rPr>
  </w:style>
  <w:style w:type="paragraph" w:customStyle="1" w:styleId="101">
    <w:name w:val="彩色列表 - 着色 11"/>
    <w:basedOn w:val="1"/>
    <w:qFormat/>
    <w:uiPriority w:val="0"/>
    <w:pPr>
      <w:ind w:firstLine="420" w:firstLineChars="200"/>
    </w:pPr>
    <w:rPr>
      <w:rFonts w:ascii="Calibri" w:hAnsi="Calibri"/>
      <w:szCs w:val="22"/>
    </w:rPr>
  </w:style>
  <w:style w:type="paragraph" w:customStyle="1" w:styleId="102">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03">
    <w:name w:val="xl33"/>
    <w:basedOn w:val="1"/>
    <w:qFormat/>
    <w:uiPriority w:val="0"/>
    <w:pPr>
      <w:widowControl/>
      <w:spacing w:before="100" w:beforeLines="0" w:beforeAutospacing="1" w:after="100" w:afterLines="0" w:afterAutospacing="1"/>
    </w:pPr>
    <w:rPr>
      <w:rFonts w:ascii="宋体" w:hAnsi="宋体"/>
      <w:kern w:val="0"/>
      <w:sz w:val="24"/>
    </w:rPr>
  </w:style>
  <w:style w:type="paragraph" w:customStyle="1" w:styleId="104">
    <w:name w:val="正文－恩普"/>
    <w:basedOn w:val="11"/>
    <w:qFormat/>
    <w:uiPriority w:val="0"/>
    <w:pPr>
      <w:widowControl/>
      <w:spacing w:line="360" w:lineRule="auto"/>
      <w:ind w:firstLine="480" w:firstLineChars="200"/>
      <w:jc w:val="left"/>
    </w:pPr>
    <w:rPr>
      <w:kern w:val="0"/>
      <w:sz w:val="24"/>
    </w:rPr>
  </w:style>
  <w:style w:type="paragraph" w:customStyle="1" w:styleId="105">
    <w:name w:val="a"/>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6">
    <w:name w:val="Table Paragraph"/>
    <w:basedOn w:val="1"/>
    <w:qFormat/>
    <w:uiPriority w:val="0"/>
    <w:pPr>
      <w:spacing w:before="93" w:beforeLines="0"/>
      <w:ind w:left="108"/>
    </w:pPr>
    <w:rPr>
      <w:rFonts w:ascii="Calibri" w:hAnsi="Calibri" w:eastAsia="宋体" w:cs="Times New Roman"/>
    </w:rPr>
  </w:style>
  <w:style w:type="paragraph" w:customStyle="1" w:styleId="107">
    <w:name w:val="方案正文"/>
    <w:basedOn w:val="1"/>
    <w:qFormat/>
    <w:uiPriority w:val="0"/>
    <w:pPr>
      <w:spacing w:before="120" w:beforeLines="0" w:line="360" w:lineRule="auto"/>
      <w:ind w:firstLine="425" w:firstLineChars="177"/>
    </w:pPr>
    <w:rPr>
      <w:rFonts w:ascii="华文细黑" w:hAnsi="华文细黑" w:eastAsia="华文细黑"/>
      <w:sz w:val="24"/>
    </w:rPr>
  </w:style>
  <w:style w:type="paragraph" w:customStyle="1" w:styleId="108">
    <w:name w:val="列表内容"/>
    <w:basedOn w:val="1"/>
    <w:next w:val="1"/>
    <w:qFormat/>
    <w:uiPriority w:val="0"/>
    <w:pPr>
      <w:widowControl/>
      <w:tabs>
        <w:tab w:val="left" w:pos="840"/>
      </w:tabs>
      <w:ind w:left="840"/>
      <w:jc w:val="left"/>
    </w:pPr>
    <w:rPr>
      <w:kern w:val="0"/>
      <w:sz w:val="18"/>
      <w:szCs w:val="20"/>
    </w:rPr>
  </w:style>
  <w:style w:type="paragraph" w:customStyle="1" w:styleId="10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0">
    <w:name w:val="List Paragraph1"/>
    <w:basedOn w:val="1"/>
    <w:qFormat/>
    <w:uiPriority w:val="0"/>
    <w:pPr>
      <w:spacing w:line="360" w:lineRule="auto"/>
      <w:ind w:firstLine="420" w:firstLineChars="200"/>
    </w:pPr>
    <w:rPr>
      <w:rFonts w:ascii="Calibri" w:hAnsi="Calibri"/>
      <w:sz w:val="24"/>
      <w:szCs w:val="22"/>
    </w:rPr>
  </w:style>
  <w:style w:type="paragraph" w:customStyle="1" w:styleId="111">
    <w:name w:val="默认段落字体 Para Char Char Char Char Char Char Char"/>
    <w:basedOn w:val="13"/>
    <w:qFormat/>
    <w:uiPriority w:val="0"/>
    <w:pPr>
      <w:adjustRightInd w:val="0"/>
      <w:spacing w:line="436" w:lineRule="exact"/>
      <w:ind w:left="357"/>
      <w:jc w:val="left"/>
      <w:outlineLvl w:val="3"/>
    </w:pPr>
    <w:rPr>
      <w:rFonts w:ascii="Tahoma" w:hAnsi="Tahoma"/>
      <w:b/>
      <w:sz w:val="24"/>
    </w:rPr>
  </w:style>
  <w:style w:type="paragraph" w:customStyle="1" w:styleId="112">
    <w:name w:val="无间隔1"/>
    <w:basedOn w:val="1"/>
    <w:qFormat/>
    <w:uiPriority w:val="0"/>
    <w:pPr>
      <w:widowControl/>
      <w:jc w:val="left"/>
    </w:pPr>
    <w:rPr>
      <w:kern w:val="0"/>
      <w:sz w:val="20"/>
      <w:szCs w:val="20"/>
      <w:lang w:eastAsia="en-US"/>
    </w:rPr>
  </w:style>
  <w:style w:type="paragraph" w:customStyle="1" w:styleId="113">
    <w:name w:val="表格非标题文字"/>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114">
    <w:name w:val="表格文字"/>
    <w:basedOn w:val="1"/>
    <w:next w:val="16"/>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15">
    <w:name w:val="正文段"/>
    <w:basedOn w:val="1"/>
    <w:qFormat/>
    <w:uiPriority w:val="0"/>
    <w:pPr>
      <w:widowControl/>
      <w:snapToGrid w:val="0"/>
      <w:spacing w:after="156" w:afterLines="50"/>
      <w:ind w:firstLine="200" w:firstLineChars="200"/>
    </w:pPr>
    <w:rPr>
      <w:kern w:val="0"/>
      <w:sz w:val="24"/>
      <w:szCs w:val="20"/>
    </w:rPr>
  </w:style>
  <w:style w:type="paragraph" w:customStyle="1" w:styleId="116">
    <w:name w:val="Body Text"/>
    <w:basedOn w:val="1"/>
    <w:qFormat/>
    <w:uiPriority w:val="0"/>
    <w:rPr>
      <w:i/>
      <w:sz w:val="18"/>
    </w:rPr>
  </w:style>
  <w:style w:type="paragraph" w:customStyle="1" w:styleId="117">
    <w:name w:val=" Char"/>
    <w:basedOn w:val="1"/>
    <w:qFormat/>
    <w:uiPriority w:val="0"/>
    <w:pPr>
      <w:widowControl/>
      <w:spacing w:line="400" w:lineRule="exact"/>
      <w:jc w:val="center"/>
    </w:pPr>
    <w:rPr>
      <w:rFonts w:ascii="Verdana" w:hAnsi="Verdana"/>
      <w:kern w:val="0"/>
      <w:szCs w:val="20"/>
      <w:lang w:eastAsia="en-US"/>
    </w:rPr>
  </w:style>
  <w:style w:type="paragraph" w:customStyle="1" w:styleId="118">
    <w:name w:val="样式5"/>
    <w:basedOn w:val="1"/>
    <w:qFormat/>
    <w:uiPriority w:val="0"/>
    <w:pPr>
      <w:spacing w:before="120" w:beforeLines="0" w:line="360" w:lineRule="auto"/>
      <w:ind w:firstLine="425" w:firstLineChars="177"/>
    </w:pPr>
    <w:rPr>
      <w:rFonts w:ascii="华文细黑" w:hAnsi="华文细黑" w:eastAsia="华文细黑"/>
      <w:sz w:val="24"/>
    </w:rPr>
  </w:style>
  <w:style w:type="paragraph" w:customStyle="1" w:styleId="119">
    <w:name w:val="xl35"/>
    <w:basedOn w:val="1"/>
    <w:qFormat/>
    <w:uiPriority w:val="0"/>
    <w:pPr>
      <w:widowControl/>
      <w:spacing w:before="100" w:beforeLines="0" w:beforeAutospacing="1" w:after="100" w:afterLines="0" w:afterAutospacing="1"/>
      <w:jc w:val="right"/>
      <w:textAlignment w:val="center"/>
    </w:pPr>
    <w:rPr>
      <w:rFonts w:ascii="宋体" w:hAnsi="宋体"/>
      <w:kern w:val="0"/>
      <w:sz w:val="18"/>
      <w:szCs w:val="20"/>
    </w:rPr>
  </w:style>
  <w:style w:type="paragraph" w:customStyle="1" w:styleId="120">
    <w:name w:val=" Char1"/>
    <w:basedOn w:val="1"/>
    <w:qFormat/>
    <w:uiPriority w:val="0"/>
  </w:style>
  <w:style w:type="paragraph" w:customStyle="1" w:styleId="121">
    <w:name w:val="Char Char Char Char Char Char Char Char Char Char Char Char1 Char"/>
    <w:basedOn w:val="13"/>
    <w:qFormat/>
    <w:uiPriority w:val="0"/>
    <w:rPr>
      <w:rFonts w:ascii="Tahoma" w:hAnsi="Tahoma"/>
      <w:sz w:val="24"/>
    </w:rPr>
  </w:style>
  <w:style w:type="paragraph" w:customStyle="1" w:styleId="122">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2"/>
      <w:lang w:val="en-US" w:eastAsia="zh-CN" w:bidi="ar-SA"/>
    </w:rPr>
  </w:style>
  <w:style w:type="paragraph" w:customStyle="1" w:styleId="123">
    <w:name w:val="样式 正文缩进 + 首行缩进:  2 字符"/>
    <w:basedOn w:val="11"/>
    <w:qFormat/>
    <w:uiPriority w:val="0"/>
    <w:pPr>
      <w:spacing w:line="360" w:lineRule="auto"/>
      <w:ind w:firstLine="200"/>
    </w:pPr>
    <w:rPr>
      <w:rFonts w:ascii="Times New Roman" w:hAnsi="Times New Roman" w:cs="Times New Roman"/>
      <w:sz w:val="24"/>
      <w:szCs w:val="20"/>
    </w:rPr>
  </w:style>
  <w:style w:type="paragraph" w:customStyle="1" w:styleId="124">
    <w:name w:val="普通(网站)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5">
    <w:name w:val="Char1"/>
    <w:basedOn w:val="1"/>
    <w:qFormat/>
    <w:uiPriority w:val="0"/>
    <w:rPr>
      <w:rFonts w:ascii="Tahoma" w:hAnsi="Tahoma"/>
      <w:sz w:val="24"/>
      <w:szCs w:val="20"/>
    </w:rPr>
  </w:style>
  <w:style w:type="paragraph" w:customStyle="1" w:styleId="126">
    <w:name w:val="列出段落2"/>
    <w:basedOn w:val="1"/>
    <w:qFormat/>
    <w:uiPriority w:val="0"/>
    <w:pPr>
      <w:ind w:firstLine="420" w:firstLineChars="200"/>
    </w:pPr>
  </w:style>
  <w:style w:type="paragraph" w:customStyle="1" w:styleId="127">
    <w:name w:val="font5"/>
    <w:basedOn w:val="1"/>
    <w:qFormat/>
    <w:uiPriority w:val="0"/>
    <w:pPr>
      <w:widowControl/>
      <w:spacing w:before="100" w:beforeLines="0" w:beforeAutospacing="1" w:after="100" w:afterLines="0" w:afterAutospacing="1"/>
      <w:jc w:val="left"/>
    </w:pPr>
    <w:rPr>
      <w:rFonts w:hint="eastAsia" w:ascii="宋体" w:hAnsi="宋体"/>
      <w:kern w:val="0"/>
      <w:sz w:val="18"/>
      <w:szCs w:val="20"/>
    </w:rPr>
  </w:style>
  <w:style w:type="paragraph" w:customStyle="1" w:styleId="128">
    <w:name w:val="自由格式 A"/>
    <w:qFormat/>
    <w:uiPriority w:val="0"/>
    <w:rPr>
      <w:rFonts w:ascii="Helvetica" w:hAnsi="Helvetica" w:eastAsia="ヒラギノ角ゴ Pro W3" w:cs="Times New Roman"/>
      <w:color w:val="000000"/>
      <w:sz w:val="24"/>
      <w:lang w:val="en-US" w:eastAsia="zh-CN" w:bidi="ar-SA"/>
    </w:rPr>
  </w:style>
  <w:style w:type="paragraph" w:customStyle="1" w:styleId="129">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30">
    <w:name w:val="WPSOffice手动目录 1"/>
    <w:qFormat/>
    <w:uiPriority w:val="0"/>
    <w:rPr>
      <w:rFonts w:ascii="Times New Roman" w:hAnsi="Times New Roman" w:eastAsia="宋体" w:cs="Times New Roman"/>
      <w:lang w:val="en-US" w:eastAsia="zh-CN" w:bidi="ar-SA"/>
    </w:rPr>
  </w:style>
  <w:style w:type="paragraph" w:customStyle="1" w:styleId="131">
    <w:name w:val="_Style 2"/>
    <w:basedOn w:val="1"/>
    <w:qFormat/>
    <w:uiPriority w:val="0"/>
    <w:pPr>
      <w:spacing w:line="440" w:lineRule="exact"/>
      <w:ind w:firstLine="420" w:firstLineChars="200"/>
    </w:pPr>
  </w:style>
  <w:style w:type="paragraph" w:customStyle="1" w:styleId="132">
    <w:name w:val="样式1"/>
    <w:basedOn w:val="6"/>
    <w:qFormat/>
    <w:uiPriority w:val="0"/>
  </w:style>
  <w:style w:type="paragraph" w:customStyle="1" w:styleId="133">
    <w:name w:val="Char"/>
    <w:basedOn w:val="1"/>
    <w:qFormat/>
    <w:uiPriority w:val="0"/>
    <w:pPr>
      <w:tabs>
        <w:tab w:val="left" w:pos="1200"/>
        <w:tab w:val="left" w:pos="1800"/>
      </w:tabs>
      <w:ind w:left="1200" w:hanging="1110"/>
    </w:pPr>
    <w:rPr>
      <w:sz w:val="24"/>
    </w:rPr>
  </w:style>
  <w:style w:type="paragraph" w:customStyle="1" w:styleId="1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35">
    <w:name w:val="List Paragraph"/>
    <w:basedOn w:val="1"/>
    <w:qFormat/>
    <w:uiPriority w:val="0"/>
    <w:pPr>
      <w:widowControl/>
      <w:ind w:left="720" w:firstLine="360"/>
      <w:jc w:val="left"/>
    </w:pPr>
    <w:rPr>
      <w:rFonts w:eastAsia="宋体" w:cs="Times New Roman"/>
      <w:kern w:val="0"/>
      <w:sz w:val="22"/>
      <w:szCs w:val="22"/>
      <w:lang w:eastAsia="en-US" w:bidi="en-US"/>
    </w:rPr>
  </w:style>
  <w:style w:type="paragraph" w:customStyle="1" w:styleId="136">
    <w:name w:val="普通(网站)11"/>
    <w:qFormat/>
    <w:uiPriority w:val="0"/>
    <w:pPr>
      <w:framePr w:wrap="around" w:vAnchor="margin" w:hAnchor="text" w:y="1"/>
      <w:spacing w:before="100" w:after="100"/>
    </w:pPr>
    <w:rPr>
      <w:rFonts w:ascii="Calibri" w:hAnsi="Calibri" w:eastAsia="Arial Unicode MS" w:cs="Arial Unicode MS"/>
      <w:color w:val="000000"/>
      <w:sz w:val="24"/>
      <w:szCs w:val="24"/>
      <w:lang w:val="en-US" w:eastAsia="zh-CN" w:bidi="ar-SA"/>
    </w:rPr>
  </w:style>
  <w:style w:type="paragraph" w:customStyle="1" w:styleId="137">
    <w:name w:val="List Paragraph2"/>
    <w:basedOn w:val="1"/>
    <w:qFormat/>
    <w:uiPriority w:val="0"/>
    <w:pPr>
      <w:ind w:firstLine="420" w:firstLineChars="200"/>
    </w:pPr>
    <w:rPr>
      <w:rFonts w:cs="Times New Roman"/>
    </w:rPr>
  </w:style>
  <w:style w:type="paragraph" w:styleId="13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p0"/>
    <w:basedOn w:val="1"/>
    <w:qFormat/>
    <w:uiPriority w:val="0"/>
    <w:pPr>
      <w:widowControl/>
    </w:pPr>
    <w:rPr>
      <w:kern w:val="0"/>
      <w:szCs w:val="21"/>
    </w:rPr>
  </w:style>
  <w:style w:type="paragraph" w:customStyle="1" w:styleId="140">
    <w:name w:val="a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1">
    <w:name w:val=" Char Char Char Char Char Char Char"/>
    <w:basedOn w:val="1"/>
    <w:qFormat/>
    <w:uiPriority w:val="0"/>
    <w:rPr>
      <w:rFonts w:ascii="Tahoma" w:hAnsi="Tahoma"/>
      <w:sz w:val="24"/>
      <w:szCs w:val="20"/>
    </w:rPr>
  </w:style>
  <w:style w:type="paragraph" w:customStyle="1" w:styleId="142">
    <w:name w:val="列表段落1"/>
    <w:basedOn w:val="1"/>
    <w:qFormat/>
    <w:uiPriority w:val="0"/>
    <w:pPr>
      <w:ind w:firstLine="420" w:firstLineChars="200"/>
    </w:pPr>
  </w:style>
  <w:style w:type="paragraph" w:customStyle="1" w:styleId="143">
    <w:name w:val="Char Char Char Char Char Char"/>
    <w:basedOn w:val="1"/>
    <w:qFormat/>
    <w:uiPriority w:val="0"/>
    <w:pPr>
      <w:ind w:firstLine="200" w:firstLineChars="200"/>
    </w:pPr>
    <w:rPr>
      <w:rFonts w:ascii="Tahoma" w:hAnsi="Tahoma"/>
      <w:sz w:val="24"/>
      <w:szCs w:val="20"/>
    </w:rPr>
  </w:style>
  <w:style w:type="paragraph" w:customStyle="1" w:styleId="144">
    <w:name w:val="此正文"/>
    <w:basedOn w:val="1"/>
    <w:qFormat/>
    <w:uiPriority w:val="0"/>
    <w:pPr>
      <w:spacing w:line="360" w:lineRule="auto"/>
      <w:ind w:firstLine="200" w:firstLineChars="200"/>
    </w:pPr>
    <w:rPr>
      <w:sz w:val="24"/>
    </w:rPr>
  </w:style>
  <w:style w:type="paragraph" w:customStyle="1" w:styleId="145">
    <w:name w:val="默认段落字体 Para Char Char Char Char Char Char Char Char Char1 Char Char Char Char"/>
    <w:basedOn w:val="1"/>
    <w:qFormat/>
    <w:uiPriority w:val="0"/>
    <w:rPr>
      <w:rFonts w:ascii="Tahoma" w:hAnsi="Tahoma"/>
      <w:sz w:val="24"/>
      <w:szCs w:val="20"/>
    </w:rPr>
  </w:style>
  <w:style w:type="paragraph" w:customStyle="1" w:styleId="146">
    <w:name w:val="Item List in Table"/>
    <w:basedOn w:val="1"/>
    <w:qFormat/>
    <w:uiPriority w:val="0"/>
    <w:pPr>
      <w:numPr>
        <w:ilvl w:val="0"/>
        <w:numId w:val="4"/>
      </w:numPr>
      <w:jc w:val="left"/>
    </w:pPr>
    <w:rPr>
      <w:rFonts w:ascii="Tahoma" w:hAnsi="Tahoma" w:eastAsia="宋体" w:cs="Times New Roman"/>
      <w:szCs w:val="21"/>
    </w:rPr>
  </w:style>
  <w:style w:type="paragraph" w:customStyle="1" w:styleId="147">
    <w:name w:val="纯文本1"/>
    <w:qFormat/>
    <w:uiPriority w:val="0"/>
    <w:pPr>
      <w:framePr w:wrap="around" w:vAnchor="margin" w:hAnchor="text" w:y="1"/>
      <w:widowControl w:val="0"/>
      <w:spacing w:before="156" w:after="156" w:line="400" w:lineRule="exact"/>
      <w:jc w:val="both"/>
    </w:pPr>
    <w:rPr>
      <w:rFonts w:ascii="宋体" w:hAnsi="宋体" w:eastAsia="宋体" w:cs="宋体"/>
      <w:color w:val="000000"/>
      <w:kern w:val="2"/>
      <w:sz w:val="21"/>
      <w:szCs w:val="21"/>
      <w:lang w:val="en-US" w:eastAsia="zh-CN" w:bidi="ar-SA"/>
    </w:rPr>
  </w:style>
  <w:style w:type="paragraph" w:customStyle="1" w:styleId="148">
    <w:name w:val="正文 A"/>
    <w:qFormat/>
    <w:uiPriority w:val="0"/>
    <w:pPr>
      <w:framePr w:wrap="around" w:vAnchor="margin" w:hAnchor="text" w:y="1"/>
      <w:widowControl w:val="0"/>
      <w:jc w:val="both"/>
    </w:pPr>
    <w:rPr>
      <w:rFonts w:ascii="Calibri" w:hAnsi="Calibri" w:eastAsia="Arial Unicode MS" w:cs="Arial Unicode MS"/>
      <w:color w:val="000000"/>
      <w:kern w:val="2"/>
      <w:sz w:val="21"/>
      <w:szCs w:val="21"/>
      <w:lang w:val="en-US" w:eastAsia="zh-CN" w:bidi="ar-SA"/>
    </w:rPr>
  </w:style>
  <w:style w:type="paragraph" w:customStyle="1" w:styleId="149">
    <w:name w:val="NormalIndent"/>
    <w:basedOn w:val="1"/>
    <w:qFormat/>
    <w:uiPriority w:val="0"/>
    <w:pPr>
      <w:numPr>
        <w:ilvl w:val="0"/>
        <w:numId w:val="5"/>
      </w:numPr>
      <w:ind w:left="0" w:firstLine="420"/>
    </w:pPr>
    <w:rPr>
      <w:szCs w:val="20"/>
    </w:rPr>
  </w:style>
  <w:style w:type="character" w:customStyle="1" w:styleId="150">
    <w:name w:val="font61"/>
    <w:qFormat/>
    <w:uiPriority w:val="0"/>
    <w:rPr>
      <w:rFonts w:hint="eastAsia" w:ascii="宋体" w:hAnsi="宋体" w:eastAsia="宋体" w:cs="宋体"/>
      <w:color w:val="FF0000"/>
      <w:sz w:val="20"/>
      <w:szCs w:val="20"/>
      <w:u w:val="none"/>
    </w:rPr>
  </w:style>
  <w:style w:type="paragraph" w:customStyle="1" w:styleId="151">
    <w:name w:val="样式3"/>
    <w:basedOn w:val="22"/>
    <w:next w:val="1"/>
    <w:qFormat/>
    <w:uiPriority w:val="0"/>
    <w:pPr>
      <w:adjustRightInd/>
      <w:textAlignment w:val="auto"/>
    </w:pPr>
    <w:rPr>
      <w:rFonts w:ascii="Times New Roman" w:hAnsi="Times New Roman" w:eastAsia="宋体" w:cs="Times New Roman"/>
      <w:kern w:val="2"/>
      <w:sz w:val="21"/>
      <w:szCs w:val="20"/>
    </w:rPr>
  </w:style>
  <w:style w:type="paragraph" w:customStyle="1" w:styleId="152">
    <w:name w:val="11正文"/>
    <w:basedOn w:val="1"/>
    <w:qFormat/>
    <w:uiPriority w:val="0"/>
    <w:pPr>
      <w:widowControl w:val="0"/>
      <w:ind w:firstLine="560"/>
      <w:jc w:val="both"/>
    </w:pPr>
    <w:rPr>
      <w:rFonts w:eastAsia="仿宋" w:cs="Times New Roman"/>
      <w:kern w:val="2"/>
      <w:sz w:val="21"/>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45</Pages>
  <Words>23414</Words>
  <Characters>24384</Characters>
  <Lines>207</Lines>
  <Paragraphs>58</Paragraphs>
  <TotalTime>131</TotalTime>
  <ScaleCrop>false</ScaleCrop>
  <LinksUpToDate>false</LinksUpToDate>
  <CharactersWithSpaces>26007</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2022-02-09T10:34:00Z</dcterms:created>
  <dc:creator>黄旭明</dc:creator>
  <cp:lastModifiedBy>杜鱼乐_Dzh</cp:lastModifiedBy>
  <cp:lastPrinted>2022-11-22T19:22:00Z</cp:lastPrinted>
  <dcterms:modified xsi:type="dcterms:W3CDTF">2024-01-31T02:42:47Z</dcterms:modified>
  <dc:title>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B1EC4DFCBF8C481996BB6B8D4E8A0D0A</vt:lpwstr>
  </property>
</Properties>
</file>